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96EE" w14:textId="5F982CBC" w:rsidR="006C0E45" w:rsidRPr="00797D8E" w:rsidRDefault="00D01547" w:rsidP="006C0E45">
      <w:pPr>
        <w:jc w:val="right"/>
        <w:rPr>
          <w:b/>
          <w:sz w:val="22"/>
          <w:szCs w:val="22"/>
        </w:rPr>
      </w:pPr>
      <w:r w:rsidRPr="00797D8E">
        <w:rPr>
          <w:b/>
          <w:sz w:val="22"/>
          <w:szCs w:val="22"/>
        </w:rPr>
        <w:t>Приложение Б</w:t>
      </w:r>
    </w:p>
    <w:p w14:paraId="3D8AF5A3" w14:textId="77777777" w:rsidR="006C0E45" w:rsidRPr="00797D8E" w:rsidRDefault="006C0E45" w:rsidP="006C0E45">
      <w:pPr>
        <w:jc w:val="right"/>
        <w:rPr>
          <w:b/>
          <w:bCs/>
          <w:sz w:val="22"/>
          <w:szCs w:val="22"/>
          <w:lang w:val="ru-RU"/>
        </w:rPr>
      </w:pPr>
    </w:p>
    <w:p w14:paraId="16FE4B81" w14:textId="66325424" w:rsidR="006C0E45" w:rsidRPr="00797D8E" w:rsidRDefault="006C0E45" w:rsidP="006C0E45">
      <w:pPr>
        <w:jc w:val="center"/>
        <w:rPr>
          <w:b/>
          <w:sz w:val="22"/>
          <w:szCs w:val="22"/>
        </w:rPr>
      </w:pPr>
      <w:r w:rsidRPr="00797D8E">
        <w:rPr>
          <w:b/>
          <w:bCs/>
          <w:sz w:val="22"/>
          <w:szCs w:val="22"/>
        </w:rPr>
        <w:t xml:space="preserve">Общи условия </w:t>
      </w:r>
      <w:r w:rsidR="00461795" w:rsidRPr="00797D8E">
        <w:rPr>
          <w:b/>
          <w:bCs/>
          <w:sz w:val="22"/>
          <w:szCs w:val="22"/>
          <w:lang w:val="ru-RU"/>
        </w:rPr>
        <w:t xml:space="preserve">на членове </w:t>
      </w:r>
      <w:r w:rsidRPr="00797D8E">
        <w:rPr>
          <w:b/>
          <w:bCs/>
          <w:sz w:val="22"/>
          <w:szCs w:val="22"/>
          <w:lang w:val="ru-RU"/>
        </w:rPr>
        <w:t xml:space="preserve">3, 4, 5, 6, 11.3„б” и чл. 14 </w:t>
      </w:r>
      <w:r w:rsidRPr="00797D8E">
        <w:rPr>
          <w:b/>
          <w:bCs/>
          <w:sz w:val="22"/>
          <w:szCs w:val="22"/>
        </w:rPr>
        <w:t xml:space="preserve">към </w:t>
      </w:r>
      <w:r w:rsidRPr="00797D8E">
        <w:rPr>
          <w:b/>
          <w:bCs/>
          <w:sz w:val="22"/>
          <w:szCs w:val="22"/>
          <w:lang w:val="ru-RU"/>
        </w:rPr>
        <w:t xml:space="preserve">Общите условия </w:t>
      </w:r>
      <w:r w:rsidRPr="00797D8E">
        <w:rPr>
          <w:b/>
          <w:bCs/>
          <w:sz w:val="22"/>
          <w:szCs w:val="22"/>
        </w:rPr>
        <w:t>към финансираните по Оперативна програма “Иновации и конкурентоспособност” 2014-2020</w:t>
      </w:r>
      <w:r w:rsidRPr="00797D8E">
        <w:rPr>
          <w:b/>
          <w:bCs/>
          <w:sz w:val="22"/>
          <w:szCs w:val="22"/>
          <w:lang w:val="ru-RU"/>
        </w:rPr>
        <w:t xml:space="preserve"> </w:t>
      </w:r>
      <w:r w:rsidRPr="00797D8E">
        <w:rPr>
          <w:b/>
          <w:bCs/>
          <w:sz w:val="22"/>
          <w:szCs w:val="22"/>
        </w:rPr>
        <w:t xml:space="preserve">договори за предоставяне на безвъзмездна финансова помощ </w:t>
      </w:r>
    </w:p>
    <w:p w14:paraId="34A34CCF" w14:textId="77777777" w:rsidR="006C0E45" w:rsidRPr="00797D8E" w:rsidRDefault="006C0E45" w:rsidP="006C0E45">
      <w:pPr>
        <w:tabs>
          <w:tab w:val="right" w:leader="dot" w:pos="8931"/>
        </w:tabs>
        <w:spacing w:after="120"/>
        <w:ind w:left="1276" w:hanging="1276"/>
        <w:rPr>
          <w:sz w:val="22"/>
          <w:szCs w:val="22"/>
        </w:rPr>
      </w:pPr>
    </w:p>
    <w:p w14:paraId="77C67CD5" w14:textId="77777777" w:rsidR="006C0E45" w:rsidRPr="00797D8E" w:rsidRDefault="006C0E45" w:rsidP="006C0E45">
      <w:pPr>
        <w:pStyle w:val="SectionTitle"/>
        <w:spacing w:before="100" w:beforeAutospacing="1" w:after="240"/>
        <w:rPr>
          <w:bCs/>
          <w:sz w:val="22"/>
          <w:szCs w:val="22"/>
          <w:lang w:val="bg-BG"/>
        </w:rPr>
      </w:pPr>
      <w:r w:rsidRPr="00797D8E">
        <w:rPr>
          <w:bCs/>
          <w:sz w:val="22"/>
          <w:szCs w:val="22"/>
          <w:lang w:val="bg-BG"/>
        </w:rPr>
        <w:t>ОБЩИ И АДМИНИСТРАТИВНИ РАЗПОРЕДБИ</w:t>
      </w:r>
    </w:p>
    <w:p w14:paraId="14AFFD34" w14:textId="44BBF233" w:rsidR="007C7CA8" w:rsidRPr="00797D8E" w:rsidRDefault="007C7CA8" w:rsidP="007C7CA8">
      <w:pPr>
        <w:pStyle w:val="Heading1"/>
        <w:numPr>
          <w:ilvl w:val="0"/>
          <w:numId w:val="0"/>
        </w:numPr>
        <w:ind w:left="480"/>
        <w:jc w:val="center"/>
        <w:rPr>
          <w:sz w:val="22"/>
          <w:szCs w:val="22"/>
          <w:lang w:val="bg-BG"/>
        </w:rPr>
      </w:pPr>
      <w:r w:rsidRPr="00797D8E">
        <w:rPr>
          <w:sz w:val="22"/>
          <w:szCs w:val="22"/>
          <w:lang w:val="bg-BG"/>
        </w:rPr>
        <w:t xml:space="preserve">към договор </w:t>
      </w:r>
      <w:r w:rsidR="00450CC3" w:rsidRPr="00797D8E">
        <w:rPr>
          <w:sz w:val="22"/>
          <w:szCs w:val="22"/>
          <w:lang w:val="bg-BG"/>
        </w:rPr>
        <w:t xml:space="preserve">№ </w:t>
      </w:r>
      <w:r w:rsidR="00BB5F4F" w:rsidRPr="00797D8E">
        <w:rPr>
          <w:sz w:val="22"/>
          <w:szCs w:val="22"/>
          <w:lang w:val="bg-BG"/>
        </w:rPr>
        <w:t>…..</w:t>
      </w:r>
    </w:p>
    <w:p w14:paraId="3E917740" w14:textId="77777777" w:rsidR="006C0E45" w:rsidRPr="00797D8E" w:rsidRDefault="006C0E45" w:rsidP="006C0E45">
      <w:pPr>
        <w:pStyle w:val="Text2"/>
        <w:spacing w:after="120"/>
        <w:ind w:left="142" w:hanging="709"/>
        <w:rPr>
          <w:sz w:val="22"/>
          <w:szCs w:val="22"/>
          <w:lang w:val="bg-BG" w:eastAsia="bg-BG"/>
        </w:rPr>
      </w:pPr>
      <w:bookmarkStart w:id="0" w:name="_Toc41300138"/>
      <w:bookmarkStart w:id="1" w:name="_Toc41303345"/>
      <w:bookmarkStart w:id="2" w:name="_Ref41304489"/>
      <w:bookmarkStart w:id="3" w:name="_Toc173497337"/>
      <w:bookmarkStart w:id="4" w:name="_Toc173502787"/>
    </w:p>
    <w:p w14:paraId="6D98B767" w14:textId="77777777" w:rsidR="006C0E45" w:rsidRPr="00797D8E" w:rsidRDefault="006C0E45" w:rsidP="006C0E45">
      <w:pPr>
        <w:pStyle w:val="Heading1"/>
        <w:numPr>
          <w:ilvl w:val="0"/>
          <w:numId w:val="0"/>
        </w:numPr>
        <w:spacing w:before="120" w:after="120"/>
        <w:rPr>
          <w:sz w:val="22"/>
          <w:szCs w:val="22"/>
          <w:lang w:val="bg-BG"/>
        </w:rPr>
      </w:pPr>
      <w:bookmarkStart w:id="5" w:name="_Toc439673951"/>
      <w:r w:rsidRPr="00797D8E">
        <w:rPr>
          <w:sz w:val="22"/>
          <w:szCs w:val="22"/>
          <w:lang w:val="bg-BG"/>
        </w:rPr>
        <w:t xml:space="preserve">Член 3 – </w:t>
      </w:r>
      <w:bookmarkEnd w:id="0"/>
      <w:bookmarkEnd w:id="1"/>
      <w:bookmarkEnd w:id="2"/>
      <w:r w:rsidRPr="00797D8E">
        <w:rPr>
          <w:sz w:val="22"/>
          <w:szCs w:val="22"/>
          <w:lang w:val="bg-BG"/>
        </w:rPr>
        <w:t>Отговорност</w:t>
      </w:r>
      <w:bookmarkEnd w:id="3"/>
      <w:bookmarkEnd w:id="4"/>
      <w:bookmarkEnd w:id="5"/>
    </w:p>
    <w:p w14:paraId="101D1445" w14:textId="77777777" w:rsidR="00754915" w:rsidRPr="00754915" w:rsidRDefault="006C0E45" w:rsidP="00754915">
      <w:pPr>
        <w:pStyle w:val="NumPar2"/>
        <w:numPr>
          <w:ilvl w:val="0"/>
          <w:numId w:val="0"/>
        </w:numPr>
        <w:spacing w:after="120"/>
        <w:ind w:hanging="567"/>
        <w:rPr>
          <w:sz w:val="22"/>
          <w:szCs w:val="22"/>
          <w:lang w:val="bg-BG"/>
        </w:rPr>
      </w:pPr>
      <w:r w:rsidRPr="00797D8E">
        <w:rPr>
          <w:sz w:val="22"/>
          <w:szCs w:val="22"/>
          <w:lang w:val="bg-BG"/>
        </w:rPr>
        <w:t xml:space="preserve">3.1. </w:t>
      </w:r>
      <w:r w:rsidRPr="00797D8E">
        <w:rPr>
          <w:sz w:val="22"/>
          <w:szCs w:val="22"/>
          <w:lang w:val="bg-BG"/>
        </w:rPr>
        <w:tab/>
      </w:r>
      <w:r w:rsidR="00754915" w:rsidRPr="00754915">
        <w:rPr>
          <w:sz w:val="22"/>
          <w:szCs w:val="22"/>
          <w:lang w:val="bg-BG"/>
        </w:rPr>
        <w:t xml:space="preserve">Управляващият орган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14:paraId="469F49F9" w14:textId="3FD9DFE3" w:rsidR="00754915" w:rsidRDefault="00754915" w:rsidP="00754915">
      <w:pPr>
        <w:pStyle w:val="NumPar2"/>
        <w:numPr>
          <w:ilvl w:val="0"/>
          <w:numId w:val="0"/>
        </w:numPr>
        <w:spacing w:after="120"/>
        <w:ind w:hanging="567"/>
        <w:rPr>
          <w:sz w:val="22"/>
          <w:szCs w:val="22"/>
          <w:lang w:val="bg-BG"/>
        </w:rPr>
      </w:pPr>
      <w:r w:rsidRPr="00754915">
        <w:rPr>
          <w:sz w:val="22"/>
          <w:szCs w:val="22"/>
          <w:lang w:val="bg-BG"/>
        </w:rPr>
        <w:t xml:space="preserve">3.2. </w:t>
      </w:r>
      <w:r w:rsidRPr="00754915">
        <w:rPr>
          <w:sz w:val="22"/>
          <w:szCs w:val="22"/>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4D3659F7" w14:textId="1E63F225" w:rsidR="006603E8" w:rsidRPr="006603E8" w:rsidRDefault="006603E8" w:rsidP="006603E8">
      <w:pPr>
        <w:pStyle w:val="NumPar2"/>
        <w:numPr>
          <w:ilvl w:val="0"/>
          <w:numId w:val="0"/>
        </w:numPr>
        <w:spacing w:after="120"/>
        <w:ind w:hanging="567"/>
        <w:rPr>
          <w:sz w:val="22"/>
          <w:szCs w:val="22"/>
          <w:lang w:val="bg-BG"/>
        </w:rPr>
      </w:pPr>
      <w:r>
        <w:rPr>
          <w:sz w:val="22"/>
          <w:szCs w:val="22"/>
          <w:lang w:val="bg-BG"/>
        </w:rPr>
        <w:t xml:space="preserve">3.3. </w:t>
      </w:r>
      <w:r w:rsidRPr="006603E8">
        <w:rPr>
          <w:sz w:val="22"/>
          <w:szCs w:val="22"/>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следните условия:</w:t>
      </w:r>
    </w:p>
    <w:p w14:paraId="39262ADA" w14:textId="77777777" w:rsidR="006603E8" w:rsidRPr="006603E8" w:rsidRDefault="006603E8" w:rsidP="006603E8">
      <w:pPr>
        <w:pStyle w:val="Text2"/>
        <w:tabs>
          <w:tab w:val="clear" w:pos="2161"/>
          <w:tab w:val="left" w:pos="142"/>
        </w:tabs>
        <w:spacing w:after="120"/>
        <w:ind w:left="0"/>
        <w:rPr>
          <w:bCs/>
          <w:sz w:val="22"/>
          <w:szCs w:val="22"/>
          <w:lang w:val="bg-BG" w:eastAsia="bg-BG"/>
        </w:rPr>
      </w:pPr>
      <w:r w:rsidRPr="006603E8">
        <w:rPr>
          <w:bCs/>
          <w:sz w:val="22"/>
          <w:szCs w:val="22"/>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0846CA09" w14:textId="77777777" w:rsidR="006603E8" w:rsidRPr="006603E8" w:rsidRDefault="006603E8" w:rsidP="006603E8">
      <w:pPr>
        <w:pStyle w:val="Text2"/>
        <w:tabs>
          <w:tab w:val="clear" w:pos="2161"/>
          <w:tab w:val="left" w:pos="142"/>
        </w:tabs>
        <w:spacing w:after="120"/>
        <w:ind w:left="0"/>
        <w:rPr>
          <w:sz w:val="22"/>
          <w:szCs w:val="22"/>
          <w:lang w:val="bg-BG"/>
        </w:rPr>
      </w:pPr>
      <w:r w:rsidRPr="006603E8">
        <w:rPr>
          <w:sz w:val="22"/>
          <w:szCs w:val="22"/>
          <w:lang w:val="bg-BG"/>
        </w:rPr>
        <w:t>б</w:t>
      </w:r>
      <w:r w:rsidRPr="006603E8">
        <w:rPr>
          <w:sz w:val="22"/>
          <w:szCs w:val="22"/>
          <w:lang w:val="en-US"/>
        </w:rPr>
        <w:t xml:space="preserve">) </w:t>
      </w:r>
      <w:r w:rsidRPr="006603E8">
        <w:rPr>
          <w:sz w:val="22"/>
          <w:szCs w:val="22"/>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14:paraId="1EC170C5" w14:textId="6060A79F" w:rsidR="006603E8" w:rsidRPr="006603E8" w:rsidRDefault="006603E8" w:rsidP="006603E8">
      <w:pPr>
        <w:pStyle w:val="Text2"/>
        <w:ind w:left="0"/>
        <w:rPr>
          <w:sz w:val="22"/>
          <w:szCs w:val="22"/>
          <w:lang w:val="bg-BG"/>
        </w:rPr>
      </w:pPr>
      <w:r w:rsidRPr="006603E8">
        <w:rPr>
          <w:sz w:val="22"/>
          <w:szCs w:val="22"/>
          <w:lang w:val="en-US"/>
        </w:rPr>
        <w:t>в</w:t>
      </w:r>
      <w:r w:rsidRPr="006603E8">
        <w:rPr>
          <w:sz w:val="22"/>
          <w:szCs w:val="22"/>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62444F2D" w14:textId="77777777" w:rsidR="004A5FD4" w:rsidRPr="00797D8E" w:rsidRDefault="004A5FD4" w:rsidP="004A5FD4">
      <w:pPr>
        <w:pStyle w:val="Heading1"/>
        <w:keepNext w:val="0"/>
        <w:numPr>
          <w:ilvl w:val="0"/>
          <w:numId w:val="0"/>
        </w:numPr>
        <w:spacing w:before="120" w:after="120"/>
        <w:rPr>
          <w:sz w:val="22"/>
          <w:szCs w:val="22"/>
          <w:lang w:val="bg-BG"/>
        </w:rPr>
      </w:pPr>
      <w:bookmarkStart w:id="6" w:name="_Toc41300139"/>
      <w:bookmarkStart w:id="7" w:name="_Toc41303346"/>
      <w:bookmarkStart w:id="8" w:name="_Ref41304501"/>
      <w:bookmarkStart w:id="9" w:name="_Ref41305089"/>
      <w:bookmarkStart w:id="10" w:name="_Toc173497338"/>
      <w:bookmarkStart w:id="11" w:name="_Toc252453136"/>
      <w:r w:rsidRPr="00797D8E">
        <w:rPr>
          <w:sz w:val="22"/>
          <w:szCs w:val="22"/>
          <w:lang w:val="bg-BG"/>
        </w:rPr>
        <w:t xml:space="preserve">Член 4 – </w:t>
      </w:r>
      <w:bookmarkEnd w:id="6"/>
      <w:bookmarkEnd w:id="7"/>
      <w:bookmarkEnd w:id="8"/>
      <w:bookmarkEnd w:id="9"/>
      <w:r w:rsidRPr="00797D8E">
        <w:rPr>
          <w:sz w:val="22"/>
          <w:szCs w:val="22"/>
          <w:lang w:val="bg-BG"/>
        </w:rPr>
        <w:t>Конфликт на интереси</w:t>
      </w:r>
      <w:bookmarkEnd w:id="10"/>
      <w:bookmarkEnd w:id="11"/>
      <w:r w:rsidRPr="00797D8E">
        <w:rPr>
          <w:sz w:val="22"/>
          <w:szCs w:val="22"/>
          <w:lang w:val="bg-BG"/>
        </w:rPr>
        <w:t xml:space="preserve"> и свързаност</w:t>
      </w:r>
    </w:p>
    <w:p w14:paraId="0A367362" w14:textId="77777777" w:rsidR="00754915" w:rsidRPr="00754915" w:rsidRDefault="004A5FD4" w:rsidP="00754915">
      <w:pPr>
        <w:pStyle w:val="Text2"/>
        <w:spacing w:after="120"/>
        <w:ind w:left="0" w:hanging="567"/>
        <w:rPr>
          <w:sz w:val="22"/>
          <w:szCs w:val="22"/>
          <w:lang w:val="bg-BG"/>
        </w:rPr>
      </w:pPr>
      <w:r w:rsidRPr="00797D8E">
        <w:rPr>
          <w:sz w:val="22"/>
          <w:szCs w:val="22"/>
          <w:lang w:val="bg-BG"/>
        </w:rPr>
        <w:t xml:space="preserve">4.1. </w:t>
      </w:r>
      <w:r w:rsidRPr="00797D8E">
        <w:rPr>
          <w:sz w:val="22"/>
          <w:szCs w:val="22"/>
          <w:lang w:val="bg-BG"/>
        </w:rPr>
        <w:tab/>
      </w:r>
      <w:r w:rsidR="00754915" w:rsidRPr="00754915">
        <w:rPr>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в конфликт на интереси. </w:t>
      </w:r>
    </w:p>
    <w:p w14:paraId="65F526B4" w14:textId="77777777" w:rsidR="00754915" w:rsidRPr="00754915" w:rsidRDefault="00754915" w:rsidP="00754915">
      <w:pPr>
        <w:pStyle w:val="Text2"/>
        <w:spacing w:after="120"/>
        <w:ind w:left="0" w:hanging="567"/>
        <w:rPr>
          <w:sz w:val="22"/>
          <w:szCs w:val="22"/>
          <w:lang w:val="bg-BG"/>
        </w:rPr>
      </w:pPr>
      <w:r w:rsidRPr="00754915">
        <w:rPr>
          <w:sz w:val="22"/>
          <w:szCs w:val="22"/>
          <w:lang w:val="bg-BG"/>
        </w:rPr>
        <w:lastRenderedPageBreak/>
        <w:tab/>
        <w:t>По изключение, Бенефициентът може да сключва трудови/граждански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ако тези лица отговарят на изискванията за заеманата длъжност. За целта, преди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необходимостта от сключването му.</w:t>
      </w:r>
    </w:p>
    <w:p w14:paraId="08DAB8C3" w14:textId="77777777" w:rsidR="00754915" w:rsidRPr="00754915" w:rsidRDefault="00754915" w:rsidP="00754915">
      <w:pPr>
        <w:pStyle w:val="Text2"/>
        <w:numPr>
          <w:ilvl w:val="1"/>
          <w:numId w:val="2"/>
        </w:numPr>
        <w:tabs>
          <w:tab w:val="clear" w:pos="-207"/>
          <w:tab w:val="num" w:pos="0"/>
        </w:tabs>
        <w:spacing w:after="120"/>
        <w:ind w:left="0" w:hanging="567"/>
        <w:rPr>
          <w:sz w:val="22"/>
          <w:szCs w:val="22"/>
          <w:lang w:val="bg-BG"/>
        </w:rPr>
      </w:pPr>
      <w:r w:rsidRPr="00754915">
        <w:rPr>
          <w:sz w:val="22"/>
          <w:szCs w:val="22"/>
          <w:lang w:val="bg-BG"/>
        </w:rPr>
        <w:t xml:space="preserve"> 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 и за отнемане на незаконно придобитото имущество.</w:t>
      </w:r>
    </w:p>
    <w:p w14:paraId="66E894DD" w14:textId="6F752133" w:rsidR="00754915" w:rsidRPr="00754915" w:rsidRDefault="00754915" w:rsidP="00754915">
      <w:pPr>
        <w:pStyle w:val="Text2"/>
        <w:tabs>
          <w:tab w:val="clear" w:pos="2161"/>
          <w:tab w:val="left" w:pos="0"/>
        </w:tabs>
        <w:spacing w:after="120"/>
        <w:ind w:left="0" w:hanging="567"/>
        <w:rPr>
          <w:sz w:val="22"/>
          <w:szCs w:val="22"/>
          <w:lang w:val="bg-BG"/>
        </w:rPr>
      </w:pPr>
      <w:r w:rsidRPr="00754915">
        <w:rPr>
          <w:spacing w:val="-6"/>
          <w:sz w:val="22"/>
          <w:szCs w:val="22"/>
          <w:lang w:val="bg-BG"/>
        </w:rPr>
        <w:t xml:space="preserve">4.3.  </w:t>
      </w:r>
      <w:r w:rsidRPr="00754915">
        <w:rPr>
          <w:sz w:val="22"/>
          <w:szCs w:val="22"/>
          <w:lang w:val="bg-BG"/>
        </w:rPr>
        <w:t xml:space="preserve">Бенефициентът се задължава да осигури спазване на всички изисквания, посочени в чл. 4. </w:t>
      </w:r>
      <w:r w:rsidRPr="00754915">
        <w:rPr>
          <w:spacing w:val="-5"/>
          <w:sz w:val="22"/>
          <w:szCs w:val="22"/>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w:t>
      </w:r>
    </w:p>
    <w:p w14:paraId="76486C36" w14:textId="4AB81B4B" w:rsidR="009D4ED0" w:rsidRPr="00797D8E" w:rsidRDefault="009D4ED0" w:rsidP="00754915">
      <w:pPr>
        <w:pStyle w:val="Heading1"/>
        <w:keepNext w:val="0"/>
        <w:numPr>
          <w:ilvl w:val="0"/>
          <w:numId w:val="0"/>
        </w:numPr>
        <w:spacing w:before="120" w:after="120"/>
        <w:rPr>
          <w:sz w:val="22"/>
          <w:szCs w:val="22"/>
          <w:lang w:val="bg-BG"/>
        </w:rPr>
      </w:pPr>
      <w:bookmarkStart w:id="12" w:name="_Toc41300140"/>
      <w:bookmarkStart w:id="13" w:name="_Toc41303347"/>
      <w:bookmarkStart w:id="14" w:name="_Ref41304510"/>
      <w:bookmarkStart w:id="15" w:name="_Ref41304939"/>
      <w:bookmarkStart w:id="16" w:name="_Toc173497339"/>
      <w:bookmarkStart w:id="17" w:name="_Toc173502789"/>
      <w:bookmarkStart w:id="18" w:name="_Toc252453137"/>
      <w:bookmarkStart w:id="19" w:name="_Toc173502795"/>
      <w:bookmarkStart w:id="20" w:name="_Toc252453146"/>
      <w:bookmarkStart w:id="21" w:name="_Toc439673954"/>
      <w:r w:rsidRPr="00797D8E">
        <w:rPr>
          <w:sz w:val="22"/>
          <w:szCs w:val="22"/>
          <w:lang w:val="bg-BG"/>
        </w:rPr>
        <w:t xml:space="preserve">Член 5 – </w:t>
      </w:r>
      <w:bookmarkEnd w:id="12"/>
      <w:bookmarkEnd w:id="13"/>
      <w:bookmarkEnd w:id="14"/>
      <w:bookmarkEnd w:id="15"/>
      <w:r w:rsidRPr="00797D8E">
        <w:rPr>
          <w:sz w:val="22"/>
          <w:szCs w:val="22"/>
          <w:lang w:val="bg-BG"/>
        </w:rPr>
        <w:t>Поверителност</w:t>
      </w:r>
      <w:bookmarkEnd w:id="16"/>
      <w:bookmarkEnd w:id="17"/>
      <w:bookmarkEnd w:id="18"/>
    </w:p>
    <w:p w14:paraId="5361090D" w14:textId="77777777" w:rsidR="00754915" w:rsidRPr="00754915" w:rsidRDefault="009D4ED0" w:rsidP="00754915">
      <w:pPr>
        <w:pStyle w:val="Text2"/>
        <w:spacing w:after="120"/>
        <w:ind w:left="0" w:hanging="567"/>
        <w:rPr>
          <w:sz w:val="22"/>
          <w:szCs w:val="22"/>
          <w:lang w:val="bg-BG"/>
        </w:rPr>
      </w:pPr>
      <w:r w:rsidRPr="00797D8E">
        <w:rPr>
          <w:sz w:val="22"/>
          <w:szCs w:val="22"/>
          <w:lang w:val="bg-BG"/>
        </w:rPr>
        <w:t xml:space="preserve">5.1.   </w:t>
      </w:r>
      <w:r w:rsidRPr="00754915">
        <w:rPr>
          <w:sz w:val="20"/>
          <w:lang w:val="bg-BG"/>
        </w:rPr>
        <w:tab/>
      </w:r>
      <w:bookmarkStart w:id="22" w:name="_Toc41300141"/>
      <w:bookmarkStart w:id="23" w:name="_Toc41303348"/>
      <w:bookmarkStart w:id="24" w:name="_Ref41304521"/>
      <w:bookmarkStart w:id="25" w:name="_Toc173497340"/>
      <w:bookmarkStart w:id="26" w:name="_Toc252453138"/>
      <w:r w:rsidR="00754915" w:rsidRPr="00754915">
        <w:rPr>
          <w:sz w:val="22"/>
          <w:szCs w:val="22"/>
          <w:lang w:val="bg-BG"/>
        </w:rPr>
        <w:t>При спазване на разпоредбата на чл. 14 от настоящите Общи условия,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14.8. и 14.9.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4CA52006" w14:textId="77777777" w:rsidR="00754915" w:rsidRPr="00754915" w:rsidRDefault="00754915" w:rsidP="00754915">
      <w:pPr>
        <w:pStyle w:val="Text2"/>
        <w:spacing w:after="120"/>
        <w:ind w:left="0" w:hanging="567"/>
        <w:rPr>
          <w:sz w:val="22"/>
          <w:szCs w:val="22"/>
          <w:lang w:val="bg-BG"/>
        </w:rPr>
      </w:pPr>
      <w:r w:rsidRPr="00754915">
        <w:rPr>
          <w:sz w:val="22"/>
          <w:szCs w:val="22"/>
          <w:lang w:val="bg-BG"/>
        </w:rPr>
        <w:t xml:space="preserve">5.2. </w:t>
      </w:r>
      <w:r w:rsidRPr="00754915">
        <w:rPr>
          <w:sz w:val="22"/>
          <w:szCs w:val="22"/>
          <w:lang w:val="bg-BG"/>
        </w:rPr>
        <w:tab/>
        <w:t xml:space="preserve">При реализиране на своите правомощия </w:t>
      </w:r>
      <w:r w:rsidRPr="00754915">
        <w:rPr>
          <w:color w:val="000000"/>
          <w:sz w:val="22"/>
          <w:szCs w:val="22"/>
          <w:lang w:val="bg-BG"/>
        </w:rPr>
        <w:t xml:space="preserve">Управляващият орган, </w:t>
      </w:r>
      <w:r w:rsidRPr="00754915">
        <w:rPr>
          <w:sz w:val="22"/>
          <w:szCs w:val="22"/>
          <w:lang w:val="bg-BG"/>
        </w:rPr>
        <w:t>упълномощените от него лица, Счетоводният орган, Бенефициентът и Европейската комисия спазват изискванията за защита на личните данни 2021/1060 в съответствие с Регламент (ЕС) 2016/679 и Регламент (ЕС) 2018/1725 на Европейския парламент и на Съвета.</w:t>
      </w:r>
    </w:p>
    <w:p w14:paraId="1CFD563B" w14:textId="75CA5A06" w:rsidR="009D4ED0" w:rsidRPr="00797D8E" w:rsidRDefault="009D4ED0" w:rsidP="00754915">
      <w:pPr>
        <w:pStyle w:val="Heading1"/>
        <w:keepNext w:val="0"/>
        <w:numPr>
          <w:ilvl w:val="0"/>
          <w:numId w:val="0"/>
        </w:numPr>
        <w:spacing w:before="120" w:after="120"/>
        <w:rPr>
          <w:sz w:val="22"/>
          <w:szCs w:val="22"/>
          <w:lang w:val="bg-BG"/>
        </w:rPr>
      </w:pPr>
      <w:r w:rsidRPr="00797D8E">
        <w:rPr>
          <w:sz w:val="22"/>
          <w:szCs w:val="22"/>
          <w:lang w:val="bg-BG"/>
        </w:rPr>
        <w:t xml:space="preserve">Член 6 – </w:t>
      </w:r>
      <w:bookmarkEnd w:id="22"/>
      <w:bookmarkEnd w:id="23"/>
      <w:bookmarkEnd w:id="24"/>
      <w:r w:rsidRPr="00797D8E">
        <w:rPr>
          <w:sz w:val="22"/>
          <w:szCs w:val="22"/>
          <w:lang w:val="bg-BG"/>
        </w:rPr>
        <w:t>Визуална идентификация</w:t>
      </w:r>
      <w:bookmarkEnd w:id="25"/>
      <w:bookmarkEnd w:id="26"/>
    </w:p>
    <w:p w14:paraId="4FAD6C09" w14:textId="77777777" w:rsidR="00754915" w:rsidRPr="00754915" w:rsidRDefault="009D4ED0" w:rsidP="00754915">
      <w:pPr>
        <w:pStyle w:val="NumPar2"/>
        <w:numPr>
          <w:ilvl w:val="0"/>
          <w:numId w:val="0"/>
        </w:numPr>
        <w:spacing w:after="120"/>
        <w:ind w:hanging="567"/>
        <w:rPr>
          <w:sz w:val="22"/>
          <w:szCs w:val="22"/>
          <w:lang w:val="bg-BG"/>
        </w:rPr>
      </w:pPr>
      <w:r w:rsidRPr="00797D8E">
        <w:rPr>
          <w:sz w:val="22"/>
          <w:szCs w:val="22"/>
          <w:lang w:val="bg-BG"/>
        </w:rPr>
        <w:t xml:space="preserve">6.1. </w:t>
      </w:r>
      <w:r w:rsidRPr="00797D8E">
        <w:rPr>
          <w:sz w:val="22"/>
          <w:szCs w:val="22"/>
          <w:lang w:val="bg-BG"/>
        </w:rPr>
        <w:tab/>
      </w:r>
      <w:r w:rsidR="00754915" w:rsidRPr="00754915">
        <w:rPr>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w:t>
      </w:r>
      <w:r w:rsidR="00754915" w:rsidRPr="00754915">
        <w:rPr>
          <w:sz w:val="22"/>
          <w:szCs w:val="22"/>
          <w:lang w:val="en-US"/>
        </w:rPr>
        <w:t>I</w:t>
      </w:r>
      <w:r w:rsidR="00754915" w:rsidRPr="00754915">
        <w:rPr>
          <w:sz w:val="22"/>
          <w:szCs w:val="22"/>
          <w:lang w:val="bg-BG"/>
        </w:rPr>
        <w:t>X</w:t>
      </w:r>
      <w:r w:rsidR="00754915" w:rsidRPr="00754915">
        <w:rPr>
          <w:sz w:val="22"/>
          <w:szCs w:val="22"/>
          <w:lang w:val="en-US"/>
        </w:rPr>
        <w:t xml:space="preserve"> </w:t>
      </w:r>
      <w:r w:rsidR="00754915" w:rsidRPr="00754915">
        <w:rPr>
          <w:sz w:val="22"/>
          <w:szCs w:val="22"/>
          <w:lang w:val="bg-BG"/>
        </w:rPr>
        <w:t>Комуникация и видимост от Регламент (ЕС) 2021/1060.</w:t>
      </w:r>
    </w:p>
    <w:p w14:paraId="4B1675B4" w14:textId="77777777" w:rsidR="00754915" w:rsidRPr="00754915" w:rsidRDefault="00754915" w:rsidP="00754915">
      <w:pPr>
        <w:pStyle w:val="NumPar2"/>
        <w:numPr>
          <w:ilvl w:val="0"/>
          <w:numId w:val="0"/>
        </w:numPr>
        <w:spacing w:after="120"/>
        <w:ind w:hanging="567"/>
        <w:rPr>
          <w:sz w:val="22"/>
          <w:szCs w:val="22"/>
          <w:lang w:val="bg-BG"/>
        </w:rPr>
      </w:pPr>
      <w:r w:rsidRPr="00754915">
        <w:rPr>
          <w:sz w:val="22"/>
          <w:szCs w:val="22"/>
          <w:lang w:val="bg-BG"/>
        </w:rPr>
        <w:t>6.2.</w:t>
      </w:r>
      <w:r w:rsidRPr="00754915">
        <w:rPr>
          <w:sz w:val="22"/>
          <w:szCs w:val="22"/>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Pr="00754915">
        <w:rPr>
          <w:sz w:val="22"/>
          <w:szCs w:val="22"/>
          <w:lang w:val="bg-BG"/>
        </w:rPr>
        <w:tab/>
      </w:r>
    </w:p>
    <w:p w14:paraId="37AE4B77" w14:textId="77777777" w:rsidR="00754915" w:rsidRPr="00754915" w:rsidRDefault="00754915" w:rsidP="00754915">
      <w:pPr>
        <w:pStyle w:val="NumPar2"/>
        <w:numPr>
          <w:ilvl w:val="0"/>
          <w:numId w:val="0"/>
        </w:numPr>
        <w:spacing w:after="120"/>
        <w:rPr>
          <w:sz w:val="22"/>
          <w:szCs w:val="22"/>
          <w:lang w:val="bg-BG"/>
        </w:rPr>
      </w:pPr>
      <w:r w:rsidRPr="00754915">
        <w:rPr>
          <w:sz w:val="22"/>
          <w:szCs w:val="22"/>
          <w:lang w:val="bg-BG"/>
        </w:rPr>
        <w:t xml:space="preserve">а) емблемата на Европейския съюз в съответствие с техническите характеристики, предвидени в предвидени в Приложение </w:t>
      </w:r>
      <w:r w:rsidRPr="00754915">
        <w:rPr>
          <w:sz w:val="22"/>
          <w:szCs w:val="22"/>
          <w:lang w:val="en-US"/>
        </w:rPr>
        <w:t>I</w:t>
      </w:r>
      <w:r w:rsidRPr="00754915">
        <w:rPr>
          <w:sz w:val="22"/>
          <w:szCs w:val="22"/>
          <w:lang w:val="bg-BG"/>
        </w:rPr>
        <w:t>X</w:t>
      </w:r>
      <w:r w:rsidRPr="00754915">
        <w:rPr>
          <w:sz w:val="22"/>
          <w:szCs w:val="22"/>
          <w:lang w:val="en-US"/>
        </w:rPr>
        <w:t xml:space="preserve"> </w:t>
      </w:r>
      <w:r w:rsidRPr="00754915">
        <w:rPr>
          <w:sz w:val="22"/>
          <w:szCs w:val="22"/>
          <w:lang w:val="bg-BG"/>
        </w:rPr>
        <w:t>от Регламент (ЕС) 2021/1060;</w:t>
      </w:r>
    </w:p>
    <w:p w14:paraId="2F378E96" w14:textId="52881CE6" w:rsidR="006603E8" w:rsidRDefault="00754915" w:rsidP="006603E8">
      <w:pPr>
        <w:pStyle w:val="NumPar2"/>
        <w:numPr>
          <w:ilvl w:val="0"/>
          <w:numId w:val="0"/>
        </w:numPr>
        <w:spacing w:after="120"/>
        <w:rPr>
          <w:sz w:val="22"/>
          <w:szCs w:val="22"/>
          <w:lang w:val="bg-BG"/>
        </w:rPr>
      </w:pPr>
      <w:r w:rsidRPr="00754915">
        <w:rPr>
          <w:sz w:val="22"/>
          <w:szCs w:val="22"/>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71ABF41F" w14:textId="229233A2" w:rsidR="006603E8" w:rsidRPr="006603E8" w:rsidDel="005B442E" w:rsidRDefault="006603E8" w:rsidP="006603E8">
      <w:pPr>
        <w:pStyle w:val="NumPar2"/>
        <w:numPr>
          <w:ilvl w:val="0"/>
          <w:numId w:val="0"/>
        </w:numPr>
        <w:spacing w:after="120"/>
        <w:ind w:hanging="567"/>
        <w:rPr>
          <w:sz w:val="22"/>
          <w:szCs w:val="22"/>
          <w:lang w:val="bg-BG"/>
        </w:rPr>
      </w:pPr>
      <w:r>
        <w:rPr>
          <w:sz w:val="22"/>
          <w:szCs w:val="22"/>
          <w:lang w:val="bg-BG"/>
        </w:rPr>
        <w:t xml:space="preserve">6.3.  </w:t>
      </w:r>
      <w:r w:rsidRPr="006603E8">
        <w:rPr>
          <w:sz w:val="22"/>
          <w:szCs w:val="22"/>
          <w:lang w:val="bg-BG"/>
        </w:rPr>
        <w:t>Бенефициентът включва информацията по чл. 6.2.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CC13A1A" w14:textId="77777777" w:rsidR="006603E8" w:rsidRPr="006603E8" w:rsidRDefault="006603E8" w:rsidP="006603E8">
      <w:pPr>
        <w:pStyle w:val="NumPar2"/>
        <w:numPr>
          <w:ilvl w:val="0"/>
          <w:numId w:val="0"/>
        </w:numPr>
        <w:spacing w:after="120"/>
        <w:ind w:hanging="567"/>
        <w:rPr>
          <w:sz w:val="22"/>
          <w:szCs w:val="22"/>
          <w:lang w:val="bg-BG"/>
        </w:rPr>
      </w:pPr>
      <w:r w:rsidRPr="006603E8">
        <w:rPr>
          <w:sz w:val="22"/>
          <w:szCs w:val="22"/>
          <w:lang w:val="bg-BG"/>
        </w:rPr>
        <w:tab/>
        <w:t xml:space="preserve">Всеки документ на Бенефициента в горните случаи трябва да съдържа следното изявление: </w:t>
      </w:r>
    </w:p>
    <w:p w14:paraId="4BDEE690" w14:textId="1C8B41FF" w:rsidR="006603E8" w:rsidRPr="006603E8" w:rsidRDefault="006603E8" w:rsidP="006603E8">
      <w:pPr>
        <w:pStyle w:val="NumPar2"/>
        <w:numPr>
          <w:ilvl w:val="0"/>
          <w:numId w:val="0"/>
        </w:numPr>
        <w:tabs>
          <w:tab w:val="left" w:pos="142"/>
        </w:tabs>
        <w:spacing w:after="120"/>
        <w:rPr>
          <w:sz w:val="22"/>
          <w:szCs w:val="22"/>
          <w:lang w:val="bg-BG"/>
        </w:rPr>
      </w:pPr>
      <w:r w:rsidRPr="006603E8">
        <w:rPr>
          <w:sz w:val="22"/>
          <w:szCs w:val="22"/>
          <w:lang w:val="bg-BG"/>
        </w:rPr>
        <w:t>“</w:t>
      </w:r>
      <w:r w:rsidRPr="006603E8">
        <w:rPr>
          <w:i/>
          <w:iCs/>
          <w:sz w:val="22"/>
          <w:szCs w:val="22"/>
          <w:lang w:val="bg-BG"/>
        </w:rPr>
        <w:t>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w:t>
      </w:r>
      <w:r w:rsidRPr="006603E8">
        <w:rPr>
          <w:i/>
          <w:sz w:val="22"/>
          <w:szCs w:val="22"/>
          <w:lang w:val="bg-BG"/>
        </w:rPr>
        <w:t xml:space="preserve"> </w:t>
      </w:r>
      <w:r w:rsidR="007839FB">
        <w:rPr>
          <w:i/>
          <w:sz w:val="22"/>
          <w:szCs w:val="22"/>
          <w:lang w:val="bg-BG"/>
        </w:rPr>
        <w:t xml:space="preserve">„ПРОСВЕТА – СОФИЯ“ </w:t>
      </w:r>
      <w:r w:rsidR="007839FB">
        <w:rPr>
          <w:i/>
          <w:sz w:val="22"/>
          <w:szCs w:val="22"/>
          <w:lang w:val="bg-BG"/>
        </w:rPr>
        <w:lastRenderedPageBreak/>
        <w:t>АД</w:t>
      </w:r>
      <w:r w:rsidRPr="006603E8">
        <w:rPr>
          <w:i/>
          <w:sz w:val="22"/>
          <w:szCs w:val="22"/>
          <w:lang w:val="bg-BG"/>
        </w:rPr>
        <w:t xml:space="preserve"> </w:t>
      </w:r>
      <w:r w:rsidRPr="006603E8">
        <w:rPr>
          <w:i/>
          <w:iCs/>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6603E8">
        <w:rPr>
          <w:sz w:val="22"/>
          <w:szCs w:val="22"/>
          <w:lang w:val="bg-BG"/>
        </w:rPr>
        <w:t>.”</w:t>
      </w:r>
    </w:p>
    <w:p w14:paraId="41400A8A" w14:textId="77777777" w:rsidR="006603E8" w:rsidRPr="006603E8" w:rsidRDefault="006603E8" w:rsidP="006603E8">
      <w:pPr>
        <w:pStyle w:val="NumPar2"/>
        <w:numPr>
          <w:ilvl w:val="0"/>
          <w:numId w:val="0"/>
        </w:numPr>
        <w:spacing w:after="120"/>
        <w:ind w:hanging="567"/>
        <w:rPr>
          <w:sz w:val="22"/>
          <w:szCs w:val="22"/>
          <w:lang w:val="bg-BG"/>
        </w:rPr>
      </w:pPr>
      <w:r w:rsidRPr="006603E8">
        <w:rPr>
          <w:sz w:val="22"/>
          <w:szCs w:val="22"/>
          <w:lang w:val="bg-BG"/>
        </w:rPr>
        <w:t>6.4.  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50E11D02" w14:textId="77777777" w:rsidR="006603E8" w:rsidRPr="006603E8" w:rsidRDefault="006603E8" w:rsidP="006603E8">
      <w:pPr>
        <w:pStyle w:val="Text2"/>
        <w:spacing w:after="120"/>
        <w:ind w:left="0" w:hanging="567"/>
        <w:rPr>
          <w:sz w:val="22"/>
          <w:szCs w:val="22"/>
          <w:lang w:val="bg-BG"/>
        </w:rPr>
      </w:pPr>
      <w:r w:rsidRPr="006603E8">
        <w:rPr>
          <w:sz w:val="22"/>
          <w:szCs w:val="22"/>
          <w:lang w:val="bg-BG"/>
        </w:rPr>
        <w:t xml:space="preserve">6.5. </w:t>
      </w:r>
      <w:r w:rsidRPr="006603E8">
        <w:rPr>
          <w:sz w:val="22"/>
          <w:szCs w:val="22"/>
          <w:lang w:val="bg-BG"/>
        </w:rPr>
        <w:tab/>
        <w:t>По време на изпълнението и след приключване на проекта 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 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6722BD80" w14:textId="77777777" w:rsidR="006603E8" w:rsidRPr="006603E8" w:rsidRDefault="006603E8" w:rsidP="006603E8">
      <w:pPr>
        <w:pStyle w:val="NumPar2"/>
        <w:numPr>
          <w:ilvl w:val="0"/>
          <w:numId w:val="0"/>
        </w:numPr>
        <w:spacing w:after="120"/>
        <w:ind w:hanging="567"/>
        <w:rPr>
          <w:sz w:val="22"/>
          <w:szCs w:val="22"/>
          <w:lang w:val="bg-BG"/>
        </w:rPr>
      </w:pPr>
      <w:r w:rsidRPr="006603E8">
        <w:rPr>
          <w:sz w:val="22"/>
          <w:szCs w:val="22"/>
          <w:lang w:val="bg-BG"/>
        </w:rPr>
        <w:t xml:space="preserve">6.6. </w:t>
      </w:r>
      <w:r w:rsidRPr="006603E8">
        <w:rPr>
          <w:sz w:val="22"/>
          <w:szCs w:val="22"/>
          <w:lang w:val="bg-BG"/>
        </w:rPr>
        <w:tab/>
        <w:t xml:space="preserve">Бенефициентът се съгласява Управляващият орган, </w:t>
      </w:r>
      <w:r w:rsidRPr="006603E8">
        <w:rPr>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603E8">
        <w:rPr>
          <w:snapToGrid w:val="0"/>
          <w:sz w:val="22"/>
          <w:szCs w:val="22"/>
          <w:lang w:val="bg-BG" w:eastAsia="en-US"/>
        </w:rPr>
        <w:t>и външните одитори</w:t>
      </w:r>
      <w:r w:rsidRPr="006603E8">
        <w:rPr>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3 от Административния договор. </w:t>
      </w:r>
    </w:p>
    <w:p w14:paraId="2114E6A1" w14:textId="5ABAD8FD" w:rsidR="004A5FD4" w:rsidRPr="00797D8E" w:rsidRDefault="004A5FD4" w:rsidP="00754915">
      <w:pPr>
        <w:pStyle w:val="NumPar2"/>
        <w:numPr>
          <w:ilvl w:val="0"/>
          <w:numId w:val="0"/>
        </w:numPr>
        <w:spacing w:after="120"/>
        <w:ind w:left="142" w:hanging="709"/>
        <w:rPr>
          <w:sz w:val="22"/>
          <w:szCs w:val="22"/>
          <w:lang w:val="bg-BG"/>
        </w:rPr>
      </w:pPr>
      <w:r w:rsidRPr="00797D8E">
        <w:rPr>
          <w:sz w:val="22"/>
          <w:szCs w:val="22"/>
          <w:lang w:val="bg-BG"/>
        </w:rPr>
        <w:t xml:space="preserve"> </w:t>
      </w:r>
    </w:p>
    <w:p w14:paraId="57CA0ADE" w14:textId="77777777" w:rsidR="004A5FD4" w:rsidRPr="00797D8E" w:rsidRDefault="004A5FD4" w:rsidP="004A5FD4">
      <w:pPr>
        <w:pStyle w:val="Heading1"/>
        <w:keepNext w:val="0"/>
        <w:numPr>
          <w:ilvl w:val="0"/>
          <w:numId w:val="0"/>
        </w:numPr>
        <w:spacing w:before="120" w:after="120"/>
        <w:rPr>
          <w:sz w:val="22"/>
          <w:szCs w:val="22"/>
          <w:lang w:val="bg-BG"/>
        </w:rPr>
      </w:pPr>
      <w:bookmarkStart w:id="27" w:name="_Toc41300146"/>
      <w:bookmarkStart w:id="28" w:name="_Toc41303354"/>
      <w:bookmarkStart w:id="29" w:name="_Ref41305070"/>
      <w:bookmarkStart w:id="30" w:name="_Ref41304730"/>
      <w:bookmarkEnd w:id="19"/>
      <w:bookmarkEnd w:id="20"/>
      <w:bookmarkEnd w:id="21"/>
      <w:r w:rsidRPr="00797D8E">
        <w:rPr>
          <w:sz w:val="22"/>
          <w:szCs w:val="22"/>
          <w:lang w:val="bg-BG"/>
        </w:rPr>
        <w:t>Член 11 – Прекратяване на договора</w:t>
      </w:r>
    </w:p>
    <w:bookmarkEnd w:id="27"/>
    <w:bookmarkEnd w:id="28"/>
    <w:bookmarkEnd w:id="29"/>
    <w:p w14:paraId="62272CF5" w14:textId="7DB4EF04" w:rsidR="006603E8" w:rsidRPr="006603E8" w:rsidRDefault="006603E8" w:rsidP="006603E8">
      <w:pPr>
        <w:pStyle w:val="NumPar2"/>
        <w:numPr>
          <w:ilvl w:val="0"/>
          <w:numId w:val="0"/>
        </w:numPr>
        <w:spacing w:after="120"/>
        <w:ind w:hanging="567"/>
        <w:rPr>
          <w:sz w:val="22"/>
          <w:szCs w:val="22"/>
          <w:lang w:val="bg-BG"/>
        </w:rPr>
      </w:pPr>
      <w:r w:rsidRPr="006603E8">
        <w:rPr>
          <w:sz w:val="22"/>
          <w:szCs w:val="22"/>
          <w:lang w:val="bg-BG"/>
        </w:rPr>
        <w:t>11.2.</w:t>
      </w:r>
      <w:r w:rsidRPr="006603E8">
        <w:rPr>
          <w:sz w:val="22"/>
          <w:szCs w:val="22"/>
          <w:lang w:val="bg-BG"/>
        </w:rPr>
        <w:tab/>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2C5B17A3" w14:textId="77777777" w:rsidR="006603E8" w:rsidRPr="006603E8" w:rsidRDefault="006603E8" w:rsidP="006603E8">
      <w:pPr>
        <w:pStyle w:val="NumPar2"/>
        <w:numPr>
          <w:ilvl w:val="0"/>
          <w:numId w:val="0"/>
        </w:numPr>
        <w:spacing w:after="120"/>
        <w:rPr>
          <w:sz w:val="22"/>
          <w:szCs w:val="22"/>
          <w:lang w:val="bg-BG"/>
        </w:rPr>
      </w:pPr>
      <w:r w:rsidRPr="006603E8">
        <w:rPr>
          <w:sz w:val="22"/>
          <w:szCs w:val="22"/>
          <w:lang w:val="bg-BG"/>
        </w:rPr>
        <w:t>б) срещу лиц</w:t>
      </w:r>
      <w:r w:rsidRPr="006603E8">
        <w:rPr>
          <w:sz w:val="22"/>
          <w:szCs w:val="22"/>
          <w:lang w:val="en-US"/>
        </w:rPr>
        <w:t>e</w:t>
      </w:r>
      <w:r w:rsidRPr="006603E8">
        <w:rPr>
          <w:sz w:val="22"/>
          <w:szCs w:val="22"/>
          <w:lang w:val="bg-BG"/>
        </w:rPr>
        <w:t xml:space="preserve"> с правомощия за представителство, вземане на решения или контрол спрямо бенефициента има образувано досъдебно производство или </w:t>
      </w:r>
      <w:r w:rsidRPr="006603E8">
        <w:rPr>
          <w:sz w:val="22"/>
          <w:szCs w:val="22"/>
          <w:lang w:val="en-US"/>
        </w:rPr>
        <w:t>e</w:t>
      </w:r>
      <w:r w:rsidRPr="006603E8">
        <w:rPr>
          <w:sz w:val="22"/>
          <w:szCs w:val="22"/>
          <w:lang w:val="bg-BG"/>
        </w:rPr>
        <w:t xml:space="preserve"> осъдено за извършено престъпление от общ характер, което накърнява финансовите интереси на Европейския съюз;</w:t>
      </w:r>
    </w:p>
    <w:p w14:paraId="3F423593" w14:textId="3DA68A14" w:rsidR="006C0E45" w:rsidRPr="00797D8E" w:rsidRDefault="006C0E45" w:rsidP="006603E8">
      <w:pPr>
        <w:pStyle w:val="Text2"/>
        <w:tabs>
          <w:tab w:val="clear" w:pos="2161"/>
        </w:tabs>
        <w:spacing w:after="60"/>
        <w:ind w:left="142" w:hanging="709"/>
        <w:rPr>
          <w:sz w:val="22"/>
          <w:szCs w:val="22"/>
          <w:lang w:val="bg-BG"/>
        </w:rPr>
      </w:pPr>
    </w:p>
    <w:p w14:paraId="02FF482D" w14:textId="77777777" w:rsidR="004A5FD4" w:rsidRPr="00797D8E" w:rsidRDefault="004A5FD4" w:rsidP="004A5FD4">
      <w:pPr>
        <w:pStyle w:val="Heading1"/>
        <w:keepNext w:val="0"/>
        <w:numPr>
          <w:ilvl w:val="0"/>
          <w:numId w:val="0"/>
        </w:numPr>
        <w:spacing w:before="120" w:after="120"/>
        <w:rPr>
          <w:sz w:val="22"/>
          <w:szCs w:val="22"/>
          <w:lang w:val="bg-BG"/>
        </w:rPr>
      </w:pPr>
      <w:bookmarkStart w:id="31" w:name="_Toc41300151"/>
      <w:bookmarkStart w:id="32" w:name="_Toc41303358"/>
      <w:bookmarkStart w:id="33" w:name="_Ref41304576"/>
      <w:bookmarkStart w:id="34" w:name="_Ref41304900"/>
      <w:bookmarkStart w:id="35" w:name="_Ref41305110"/>
      <w:bookmarkStart w:id="36" w:name="_Ref41305756"/>
      <w:bookmarkStart w:id="37" w:name="_Toc173497347"/>
      <w:bookmarkStart w:id="38" w:name="_Toc173502798"/>
      <w:bookmarkStart w:id="39" w:name="_Toc252453149"/>
      <w:bookmarkEnd w:id="30"/>
      <w:r w:rsidRPr="00797D8E">
        <w:rPr>
          <w:sz w:val="22"/>
          <w:szCs w:val="22"/>
          <w:lang w:val="bg-BG"/>
        </w:rPr>
        <w:t xml:space="preserve">Член 14 – </w:t>
      </w:r>
      <w:bookmarkEnd w:id="31"/>
      <w:bookmarkEnd w:id="32"/>
      <w:bookmarkEnd w:id="33"/>
      <w:bookmarkEnd w:id="34"/>
      <w:bookmarkEnd w:id="35"/>
      <w:bookmarkEnd w:id="36"/>
      <w:r w:rsidRPr="00797D8E">
        <w:rPr>
          <w:sz w:val="22"/>
          <w:szCs w:val="22"/>
          <w:lang w:val="bg-BG"/>
        </w:rPr>
        <w:t>Счетоводни отчети и технически и финансови проверки</w:t>
      </w:r>
      <w:bookmarkEnd w:id="37"/>
      <w:bookmarkEnd w:id="38"/>
      <w:bookmarkEnd w:id="39"/>
    </w:p>
    <w:p w14:paraId="31E6263E" w14:textId="0EC1CBF2" w:rsidR="00AA30DD" w:rsidRPr="00AA30DD" w:rsidRDefault="004A5FD4" w:rsidP="00AA30DD">
      <w:pPr>
        <w:pStyle w:val="NumPar2"/>
        <w:numPr>
          <w:ilvl w:val="0"/>
          <w:numId w:val="0"/>
        </w:numPr>
        <w:spacing w:after="120"/>
        <w:ind w:hanging="567"/>
        <w:rPr>
          <w:color w:val="000000"/>
          <w:sz w:val="22"/>
          <w:szCs w:val="22"/>
          <w:lang w:val="bg-BG"/>
        </w:rPr>
      </w:pPr>
      <w:r w:rsidRPr="00797D8E">
        <w:rPr>
          <w:color w:val="000000"/>
          <w:sz w:val="22"/>
          <w:szCs w:val="22"/>
          <w:lang w:val="bg-BG"/>
        </w:rPr>
        <w:t xml:space="preserve">14.1. </w:t>
      </w:r>
      <w:r w:rsidR="00AA30DD" w:rsidRPr="00AA30DD">
        <w:rPr>
          <w:color w:val="000000"/>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w:t>
      </w:r>
      <w:r w:rsidR="00AA30DD" w:rsidRPr="00AA30DD">
        <w:rPr>
          <w:color w:val="000000"/>
          <w:sz w:val="22"/>
          <w:szCs w:val="22"/>
          <w:lang w:val="en-US"/>
        </w:rPr>
        <w:t xml:space="preserve"> </w:t>
      </w:r>
      <w:r w:rsidR="00AA30DD" w:rsidRPr="00AA30DD">
        <w:rPr>
          <w:color w:val="000000"/>
          <w:sz w:val="22"/>
          <w:szCs w:val="22"/>
          <w:lang w:val="bg-BG"/>
        </w:rPr>
        <w:t>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w:t>
      </w:r>
    </w:p>
    <w:p w14:paraId="6555D9A2" w14:textId="77777777" w:rsidR="00AA30DD" w:rsidRPr="00AA30DD" w:rsidRDefault="00AA30DD" w:rsidP="00AA30DD">
      <w:pPr>
        <w:pStyle w:val="NumPar2"/>
        <w:numPr>
          <w:ilvl w:val="0"/>
          <w:numId w:val="0"/>
        </w:numPr>
        <w:spacing w:after="120"/>
        <w:ind w:hanging="567"/>
        <w:rPr>
          <w:sz w:val="22"/>
          <w:szCs w:val="22"/>
          <w:lang w:val="bg-BG"/>
        </w:rPr>
      </w:pPr>
      <w:r w:rsidRPr="00AA30DD">
        <w:rPr>
          <w:sz w:val="22"/>
          <w:szCs w:val="22"/>
          <w:lang w:val="bg-BG"/>
        </w:rPr>
        <w:t xml:space="preserve">14.2.  </w:t>
      </w:r>
      <w:r w:rsidRPr="00AA30DD">
        <w:rPr>
          <w:sz w:val="22"/>
          <w:szCs w:val="22"/>
          <w:lang w:val="bg-BG"/>
        </w:rPr>
        <w:tab/>
      </w:r>
      <w:r w:rsidRPr="00AA30DD">
        <w:rPr>
          <w:color w:val="000000"/>
          <w:sz w:val="22"/>
          <w:szCs w:val="22"/>
          <w:lang w:val="bg-BG"/>
        </w:rPr>
        <w:t>Счетоводните отчети, разходите и плащанията, свързани с проекта, трябва да подлежат на ясно идентифициране и проверка</w:t>
      </w:r>
      <w:r w:rsidRPr="00AA30DD">
        <w:rPr>
          <w:sz w:val="22"/>
          <w:szCs w:val="22"/>
          <w:lang w:val="bg-BG"/>
        </w:rPr>
        <w:t xml:space="preserve"> като за изпълнението на проекта се обособи отделна счетоводна аналитичност. </w:t>
      </w:r>
    </w:p>
    <w:p w14:paraId="298B1623" w14:textId="77777777" w:rsidR="00AA30DD" w:rsidRPr="00AA30DD" w:rsidRDefault="00AA30DD" w:rsidP="00AA30DD">
      <w:pPr>
        <w:pStyle w:val="NumPar2"/>
        <w:numPr>
          <w:ilvl w:val="0"/>
          <w:numId w:val="0"/>
        </w:numPr>
        <w:spacing w:after="120"/>
        <w:ind w:hanging="567"/>
        <w:rPr>
          <w:sz w:val="22"/>
          <w:szCs w:val="22"/>
          <w:lang w:val="bg-BG"/>
        </w:rPr>
      </w:pPr>
      <w:r w:rsidRPr="00AA30DD">
        <w:rPr>
          <w:sz w:val="22"/>
          <w:szCs w:val="22"/>
          <w:lang w:val="bg-BG"/>
        </w:rPr>
        <w:t xml:space="preserve">14.3. </w:t>
      </w:r>
      <w:r w:rsidRPr="00AA30DD">
        <w:rPr>
          <w:sz w:val="22"/>
          <w:szCs w:val="22"/>
          <w:lang w:val="bg-BG"/>
        </w:rPr>
        <w:tab/>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57DD00F9" w14:textId="77777777" w:rsidR="00AA30DD" w:rsidRPr="00AA30DD" w:rsidRDefault="00AA30DD" w:rsidP="00AA30DD">
      <w:pPr>
        <w:pStyle w:val="Text2"/>
        <w:spacing w:after="120"/>
        <w:ind w:left="0" w:hanging="567"/>
        <w:rPr>
          <w:sz w:val="22"/>
          <w:szCs w:val="22"/>
          <w:lang w:val="bg-BG"/>
        </w:rPr>
      </w:pPr>
      <w:r w:rsidRPr="00AA30DD">
        <w:rPr>
          <w:sz w:val="22"/>
          <w:szCs w:val="22"/>
          <w:lang w:val="bg-BG"/>
        </w:rPr>
        <w:t>14.4. Бенефициентът трябва да гарантира, че данните, посочени в отчетите,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14.7 и чл. 14.8 от настоящите Общи условия.</w:t>
      </w:r>
    </w:p>
    <w:p w14:paraId="547B3C81" w14:textId="77777777" w:rsidR="00AA30DD" w:rsidRPr="00AA30DD" w:rsidRDefault="00AA30DD" w:rsidP="00AA30DD">
      <w:pPr>
        <w:pStyle w:val="NumPar2"/>
        <w:numPr>
          <w:ilvl w:val="0"/>
          <w:numId w:val="0"/>
        </w:numPr>
        <w:spacing w:after="120"/>
        <w:ind w:hanging="567"/>
        <w:rPr>
          <w:snapToGrid w:val="0"/>
          <w:sz w:val="22"/>
          <w:szCs w:val="22"/>
          <w:lang w:val="bg-BG" w:eastAsia="en-US"/>
        </w:rPr>
      </w:pPr>
      <w:bookmarkStart w:id="40" w:name="_Ref43882704"/>
      <w:r w:rsidRPr="00AA30DD">
        <w:rPr>
          <w:color w:val="000000"/>
          <w:sz w:val="22"/>
          <w:szCs w:val="22"/>
          <w:lang w:val="bg-BG"/>
        </w:rPr>
        <w:t xml:space="preserve">14.5. Бенефициентът е длъжен да допуска Управляващия орган, </w:t>
      </w:r>
      <w:r w:rsidRPr="00AA30DD">
        <w:rPr>
          <w:sz w:val="22"/>
          <w:szCs w:val="22"/>
          <w:lang w:val="bg-BG"/>
        </w:rPr>
        <w:t xml:space="preserve">упълномощените от него лица, </w:t>
      </w:r>
      <w:r w:rsidRPr="00AA30DD">
        <w:rPr>
          <w:color w:val="000000"/>
          <w:sz w:val="22"/>
          <w:szCs w:val="22"/>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AA30DD">
        <w:rPr>
          <w:snapToGrid w:val="0"/>
          <w:sz w:val="22"/>
          <w:szCs w:val="22"/>
          <w:lang w:val="bg-BG" w:eastAsia="en-US"/>
        </w:rPr>
        <w:t>, външни одитори, извършващи проверки съгласно чл. 13.4</w:t>
      </w:r>
      <w:r w:rsidRPr="00AA30DD">
        <w:rPr>
          <w:sz w:val="22"/>
          <w:szCs w:val="22"/>
          <w:lang w:val="bg-BG"/>
        </w:rPr>
        <w:t xml:space="preserve"> от настоящите Общи условия</w:t>
      </w:r>
      <w:r w:rsidRPr="00AA30DD">
        <w:rPr>
          <w:snapToGrid w:val="0"/>
          <w:sz w:val="22"/>
          <w:szCs w:val="22"/>
          <w:lang w:val="bg-BG" w:eastAsia="en-US"/>
        </w:rPr>
        <w:t xml:space="preserve">, Агенцията за държавна финансова инспекция и Националната агенция за </w:t>
      </w:r>
      <w:r w:rsidRPr="00AA30DD">
        <w:rPr>
          <w:snapToGrid w:val="0"/>
          <w:sz w:val="22"/>
          <w:szCs w:val="22"/>
          <w:lang w:val="bg-BG" w:eastAsia="en-US"/>
        </w:rPr>
        <w:lastRenderedPageBreak/>
        <w:t xml:space="preserve">приходите </w:t>
      </w:r>
      <w:r w:rsidRPr="00AA30DD">
        <w:rPr>
          <w:color w:val="000000"/>
          <w:sz w:val="22"/>
          <w:szCs w:val="22"/>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и платежните документи, приложени към счетоводните отчети, счетоводната документация и други документи, свързани с финансирането на проекта</w:t>
      </w:r>
      <w:r w:rsidRPr="00AA30DD">
        <w:rPr>
          <w:snapToGrid w:val="0"/>
          <w:sz w:val="22"/>
          <w:szCs w:val="22"/>
          <w:lang w:val="bg-BG" w:eastAsia="en-US"/>
        </w:rPr>
        <w:t xml:space="preserve">. </w:t>
      </w:r>
      <w:r w:rsidRPr="00AA30DD">
        <w:rPr>
          <w:color w:val="000000"/>
          <w:sz w:val="22"/>
          <w:szCs w:val="22"/>
          <w:lang w:val="bg-BG"/>
        </w:rPr>
        <w:t xml:space="preserve">Тези проверки могат да се провеждат </w:t>
      </w:r>
      <w:r w:rsidRPr="00AA30DD">
        <w:rPr>
          <w:sz w:val="22"/>
          <w:szCs w:val="22"/>
          <w:lang w:val="bg-BG"/>
        </w:rPr>
        <w:t>до изтичане на сроковете по чл. 14.7 и чл. 14.8 от настоящите Общи условия:</w:t>
      </w:r>
      <w:bookmarkEnd w:id="40"/>
    </w:p>
    <w:p w14:paraId="16CCF7DC" w14:textId="77777777" w:rsidR="00AA30DD" w:rsidRPr="00AA30DD" w:rsidRDefault="00AA30DD" w:rsidP="00AA30DD">
      <w:pPr>
        <w:pStyle w:val="Text2"/>
        <w:tabs>
          <w:tab w:val="num" w:pos="-2127"/>
        </w:tabs>
        <w:spacing w:after="120"/>
        <w:ind w:left="0" w:hanging="567"/>
        <w:rPr>
          <w:sz w:val="22"/>
          <w:szCs w:val="22"/>
          <w:lang w:val="bg-BG"/>
        </w:rPr>
      </w:pPr>
      <w:r w:rsidRPr="00AA30DD">
        <w:rPr>
          <w:color w:val="000000"/>
          <w:sz w:val="22"/>
          <w:szCs w:val="22"/>
          <w:lang w:val="bg-BG"/>
        </w:rPr>
        <w:t>а)    Освен указаното в чл. 14.5</w:t>
      </w:r>
      <w:r w:rsidRPr="00AA30DD">
        <w:rPr>
          <w:sz w:val="22"/>
          <w:szCs w:val="22"/>
          <w:lang w:val="bg-BG"/>
        </w:rPr>
        <w:t xml:space="preserve"> от настоящите Общи условия</w:t>
      </w:r>
      <w:r w:rsidRPr="00AA30DD">
        <w:rPr>
          <w:color w:val="000000"/>
          <w:sz w:val="22"/>
          <w:szCs w:val="22"/>
          <w:lang w:val="bg-BG"/>
        </w:rPr>
        <w:t>, Бенефициентът е длъжен да допусне Управляващия орган,</w:t>
      </w:r>
      <w:r w:rsidRPr="00AA30DD">
        <w:rPr>
          <w:sz w:val="22"/>
          <w:szCs w:val="22"/>
          <w:lang w:val="bg-BG"/>
        </w:rPr>
        <w:t xml:space="preserve"> упълномощените от него лица, </w:t>
      </w:r>
      <w:r w:rsidRPr="00AA30DD">
        <w:rPr>
          <w:color w:val="000000"/>
          <w:sz w:val="22"/>
          <w:szCs w:val="22"/>
          <w:lang w:val="bg-BG"/>
        </w:rPr>
        <w:t xml:space="preserve">Счетоводния орган, националните одитиращи органи, Европейската комисия, Европейската служба за борба с измамите, Европейската сметна палата, </w:t>
      </w:r>
      <w:r w:rsidRPr="00AA30DD">
        <w:rPr>
          <w:snapToGrid w:val="0"/>
          <w:sz w:val="22"/>
          <w:szCs w:val="22"/>
          <w:lang w:val="bg-BG" w:eastAsia="en-US"/>
        </w:rPr>
        <w:t>външни одитори, извършващи проверки съгласно чл. 13.4</w:t>
      </w:r>
      <w:r w:rsidRPr="00AA30DD">
        <w:rPr>
          <w:sz w:val="22"/>
          <w:szCs w:val="22"/>
          <w:lang w:val="bg-BG"/>
        </w:rPr>
        <w:t xml:space="preserve"> от настоящите Общи условия</w:t>
      </w:r>
      <w:r w:rsidRPr="00AA30DD">
        <w:rPr>
          <w:snapToGrid w:val="0"/>
          <w:sz w:val="22"/>
          <w:szCs w:val="22"/>
          <w:lang w:val="bg-BG" w:eastAsia="en-US"/>
        </w:rPr>
        <w:t xml:space="preserve"> Агенцията за държавна финансова инспекция и Националната агенция за приходите, </w:t>
      </w:r>
      <w:r w:rsidRPr="00AA30DD">
        <w:rPr>
          <w:color w:val="000000"/>
          <w:sz w:val="22"/>
          <w:szCs w:val="22"/>
          <w:lang w:val="bg-BG"/>
        </w:rPr>
        <w:t>да извършат проверки и инспекции на място в съответствие с процедурите, предвидени в приложимото законодателство за защита на финансовите интереси на Европейския съюз.</w:t>
      </w:r>
    </w:p>
    <w:p w14:paraId="504D61FA" w14:textId="77777777" w:rsidR="00AA30DD" w:rsidRPr="00AA30DD" w:rsidRDefault="00AA30DD" w:rsidP="00AA30DD">
      <w:pPr>
        <w:pStyle w:val="Text2"/>
        <w:tabs>
          <w:tab w:val="num" w:pos="-2127"/>
        </w:tabs>
        <w:spacing w:after="120"/>
        <w:ind w:left="0" w:hanging="567"/>
        <w:rPr>
          <w:snapToGrid w:val="0"/>
          <w:sz w:val="22"/>
          <w:szCs w:val="22"/>
          <w:lang w:val="bg-BG" w:eastAsia="en-US"/>
        </w:rPr>
      </w:pPr>
      <w:r w:rsidRPr="00AA30DD">
        <w:rPr>
          <w:sz w:val="22"/>
          <w:szCs w:val="22"/>
          <w:lang w:val="bg-BG"/>
        </w:rPr>
        <w:t>б)  За тази цел Бенефициентът се задължава да предостави на служителите или представителите на Управляващия орган, упълномощените от него лица, Счетоводния орган, националните одитиращи органи, Европейската комисия, Европейската служба за борба с измамите и Европейската сметна палата, на</w:t>
      </w:r>
      <w:r w:rsidRPr="00AA30DD">
        <w:rPr>
          <w:snapToGrid w:val="0"/>
          <w:sz w:val="22"/>
          <w:szCs w:val="22"/>
          <w:lang w:val="bg-BG" w:eastAsia="en-US"/>
        </w:rPr>
        <w:t xml:space="preserve"> външни одитори, извършващи проверки съгласно чл. 13.4</w:t>
      </w:r>
      <w:r w:rsidRPr="00AA30DD">
        <w:rPr>
          <w:sz w:val="22"/>
          <w:szCs w:val="22"/>
          <w:lang w:val="bg-BG"/>
        </w:rPr>
        <w:t xml:space="preserve"> от настоящите Общи условия</w:t>
      </w:r>
      <w:r w:rsidRPr="00AA30DD">
        <w:rPr>
          <w:snapToGrid w:val="0"/>
          <w:sz w:val="22"/>
          <w:szCs w:val="22"/>
          <w:lang w:val="bg-BG" w:eastAsia="en-US"/>
        </w:rPr>
        <w:t xml:space="preserve">, на Агенцията за държавна финансова инспекция и на Националната агенция за приходите, </w:t>
      </w:r>
      <w:r w:rsidRPr="00AA30DD">
        <w:rPr>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AA30DD">
        <w:rPr>
          <w:snapToGrid w:val="0"/>
          <w:sz w:val="22"/>
          <w:szCs w:val="22"/>
          <w:lang w:val="bg-BG" w:eastAsia="en-US"/>
        </w:rPr>
        <w:t xml:space="preserve">. Тези документи включват </w:t>
      </w:r>
      <w:r w:rsidRPr="00AA30DD">
        <w:rPr>
          <w:sz w:val="22"/>
          <w:szCs w:val="22"/>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платежни документи, приемо-предавателни протоколи и др. Достъпът, предоставен на служителите или представителите на Управляващия орган, упълномощените от него лица, Счетоводния орган, националните одитиращи органи, Европейската комисия, Европейската служба за борба с измамите, Европейската сметна палата и </w:t>
      </w:r>
      <w:r w:rsidRPr="00AA30DD">
        <w:rPr>
          <w:snapToGrid w:val="0"/>
          <w:sz w:val="22"/>
          <w:szCs w:val="22"/>
          <w:lang w:val="bg-BG" w:eastAsia="en-US"/>
        </w:rPr>
        <w:t>външните одитори, извършващи проверки съгласно чл. 13.4</w:t>
      </w:r>
      <w:r w:rsidRPr="00AA30DD">
        <w:rPr>
          <w:sz w:val="22"/>
          <w:szCs w:val="22"/>
          <w:lang w:val="bg-BG"/>
        </w:rPr>
        <w:t xml:space="preserve"> от настоящите Общи условия</w:t>
      </w:r>
      <w:r w:rsidRPr="00AA30DD">
        <w:rPr>
          <w:snapToGrid w:val="0"/>
          <w:sz w:val="22"/>
          <w:szCs w:val="22"/>
          <w:lang w:val="bg-BG" w:eastAsia="en-US"/>
        </w:rPr>
        <w:t xml:space="preserve">, </w:t>
      </w:r>
      <w:r w:rsidRPr="00AA30DD">
        <w:rPr>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AA30DD">
        <w:rPr>
          <w:snapToGrid w:val="0"/>
          <w:sz w:val="22"/>
          <w:szCs w:val="22"/>
          <w:lang w:val="bg-BG" w:eastAsia="en-US"/>
        </w:rPr>
        <w:t xml:space="preserve">. </w:t>
      </w:r>
    </w:p>
    <w:p w14:paraId="43B4905B" w14:textId="77777777" w:rsidR="00AA30DD" w:rsidRPr="00AA30DD" w:rsidRDefault="00AA30DD" w:rsidP="00AA30DD">
      <w:pPr>
        <w:pStyle w:val="Text2"/>
        <w:tabs>
          <w:tab w:val="num" w:pos="-2127"/>
        </w:tabs>
        <w:spacing w:after="120"/>
        <w:ind w:left="0" w:hanging="567"/>
        <w:rPr>
          <w:sz w:val="22"/>
          <w:szCs w:val="22"/>
          <w:lang w:val="bg-BG"/>
        </w:rPr>
      </w:pPr>
      <w:r w:rsidRPr="00AA30DD">
        <w:rPr>
          <w:snapToGrid w:val="0"/>
          <w:sz w:val="22"/>
          <w:szCs w:val="22"/>
          <w:lang w:val="bg-BG" w:eastAsia="en-US"/>
        </w:rPr>
        <w:t xml:space="preserve">14.6. </w:t>
      </w:r>
      <w:r w:rsidRPr="00AA30DD">
        <w:rPr>
          <w:sz w:val="22"/>
          <w:szCs w:val="22"/>
          <w:lang w:val="bg-BG"/>
        </w:rPr>
        <w:t>Бенефициентът</w:t>
      </w:r>
      <w:r w:rsidRPr="00AA30DD">
        <w:rPr>
          <w:snapToGrid w:val="0"/>
          <w:sz w:val="22"/>
          <w:szCs w:val="22"/>
          <w:lang w:val="bg-BG" w:eastAsia="en-US"/>
        </w:rPr>
        <w:t xml:space="preserve"> гарантира, че правата на </w:t>
      </w:r>
      <w:r w:rsidRPr="00AA30DD">
        <w:rPr>
          <w:sz w:val="22"/>
          <w:szCs w:val="22"/>
          <w:lang w:val="bg-BG"/>
        </w:rPr>
        <w:t xml:space="preserve">Управляващия орган, упълномощените от него лица, Счетоводния орган, националните одитиращи органи, Европейската комисия, Европейската служба за борба с измамите, Европейската сметна палата и </w:t>
      </w:r>
      <w:r w:rsidRPr="00AA30DD">
        <w:rPr>
          <w:snapToGrid w:val="0"/>
          <w:sz w:val="22"/>
          <w:szCs w:val="22"/>
          <w:lang w:val="bg-BG" w:eastAsia="en-US"/>
        </w:rPr>
        <w:t>външните одитори, извършващи проверки съгласно чл. 13.4</w:t>
      </w:r>
      <w:r w:rsidRPr="00AA30DD">
        <w:rPr>
          <w:sz w:val="22"/>
          <w:szCs w:val="22"/>
          <w:lang w:val="bg-BG"/>
        </w:rPr>
        <w:t xml:space="preserve"> от настоящите Общи условия</w:t>
      </w:r>
      <w:r w:rsidRPr="00AA30DD">
        <w:rPr>
          <w:snapToGrid w:val="0"/>
          <w:sz w:val="22"/>
          <w:szCs w:val="22"/>
          <w:lang w:val="bg-BG" w:eastAsia="en-US"/>
        </w:rPr>
        <w:t xml:space="preserve">, да извършват одити, проверки и проучвания, ще се </w:t>
      </w:r>
      <w:r w:rsidRPr="00AA30DD">
        <w:rPr>
          <w:sz w:val="22"/>
          <w:szCs w:val="22"/>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0112D96A" w14:textId="77777777" w:rsidR="00AA30DD" w:rsidRPr="00AA30DD" w:rsidRDefault="00AA30DD" w:rsidP="00AA30DD">
      <w:pPr>
        <w:pStyle w:val="Text1"/>
        <w:spacing w:after="120"/>
        <w:ind w:left="0" w:hanging="567"/>
        <w:rPr>
          <w:sz w:val="22"/>
          <w:szCs w:val="22"/>
          <w:lang w:val="bg-BG"/>
        </w:rPr>
      </w:pPr>
      <w:r w:rsidRPr="00AA30DD">
        <w:rPr>
          <w:sz w:val="22"/>
          <w:szCs w:val="22"/>
          <w:lang w:val="bg-BG"/>
        </w:rPr>
        <w:t xml:space="preserve">14.7. </w:t>
      </w:r>
      <w:r w:rsidRPr="00AA30DD">
        <w:rPr>
          <w:sz w:val="22"/>
          <w:szCs w:val="22"/>
          <w:lang w:val="bg-BG"/>
        </w:rPr>
        <w:tab/>
        <w:t>По настоящия чл. 14 от Общите условия документите се съхраняват на подходящото равнище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4B2B6FA1" w14:textId="77777777" w:rsidR="00AA30DD" w:rsidRPr="00AA30DD" w:rsidRDefault="00AA30DD" w:rsidP="00AA30DD">
      <w:pPr>
        <w:pStyle w:val="Text1"/>
        <w:spacing w:after="120"/>
        <w:ind w:left="0" w:hanging="567"/>
        <w:rPr>
          <w:snapToGrid w:val="0"/>
          <w:sz w:val="22"/>
          <w:szCs w:val="22"/>
          <w:lang w:val="bg-BG" w:eastAsia="en-US"/>
        </w:rPr>
      </w:pPr>
      <w:r w:rsidRPr="00AA30DD">
        <w:rPr>
          <w:sz w:val="22"/>
          <w:szCs w:val="22"/>
          <w:lang w:val="bg-BG" w:eastAsia="en-US"/>
        </w:rPr>
        <w:t xml:space="preserve"> 14.8. </w:t>
      </w:r>
      <w:r w:rsidRPr="00AA30DD">
        <w:rPr>
          <w:sz w:val="22"/>
          <w:szCs w:val="22"/>
          <w:lang w:val="bg-BG" w:eastAsia="en-US"/>
        </w:rPr>
        <w:tab/>
        <w:t>Управляващият орган информира Бенефициента за началната дата, от която текат сроковете по чл. 14.7. Срокът по чл. 14.7 спира да тече</w:t>
      </w:r>
      <w:r w:rsidRPr="00AA30DD">
        <w:rPr>
          <w:sz w:val="22"/>
          <w:szCs w:val="22"/>
          <w:lang w:val="bg-BG"/>
        </w:rPr>
        <w:t xml:space="preserve"> </w:t>
      </w:r>
      <w:r w:rsidRPr="00AA30DD">
        <w:rPr>
          <w:sz w:val="22"/>
          <w:szCs w:val="22"/>
          <w:lang w:val="bg-BG" w:eastAsia="en-US"/>
        </w:rPr>
        <w:t>в случай на съдебно производство или по искане на Европейската комисия.</w:t>
      </w:r>
    </w:p>
    <w:p w14:paraId="5D36A136" w14:textId="5C664F33" w:rsidR="006C0E45" w:rsidRPr="00797D8E" w:rsidRDefault="006C0E45" w:rsidP="00AA30DD">
      <w:pPr>
        <w:pStyle w:val="NumPar2"/>
        <w:numPr>
          <w:ilvl w:val="0"/>
          <w:numId w:val="0"/>
        </w:numPr>
        <w:spacing w:after="120"/>
        <w:ind w:left="142" w:hanging="709"/>
        <w:rPr>
          <w:snapToGrid w:val="0"/>
          <w:sz w:val="22"/>
          <w:szCs w:val="22"/>
          <w:lang w:val="bg-BG" w:eastAsia="en-US"/>
        </w:rPr>
      </w:pPr>
    </w:p>
    <w:p w14:paraId="13D36B16" w14:textId="2E6E2D2B" w:rsidR="006C0E45" w:rsidRPr="00797D8E" w:rsidRDefault="006C0E45" w:rsidP="006C0E45">
      <w:pPr>
        <w:pStyle w:val="Default"/>
        <w:jc w:val="both"/>
        <w:rPr>
          <w:sz w:val="22"/>
          <w:szCs w:val="22"/>
          <w:lang w:val="ru-RU"/>
        </w:rPr>
      </w:pPr>
      <w:r w:rsidRPr="00797D8E">
        <w:rPr>
          <w:sz w:val="22"/>
          <w:szCs w:val="22"/>
        </w:rPr>
        <w:lastRenderedPageBreak/>
        <w:t xml:space="preserve">Настоящото приложение е неразделна част от договор: </w:t>
      </w:r>
      <w:r w:rsidR="000A08E0" w:rsidRPr="00797D8E">
        <w:rPr>
          <w:sz w:val="22"/>
          <w:szCs w:val="22"/>
        </w:rPr>
        <w:t>№</w:t>
      </w:r>
      <w:r w:rsidR="00AE7B5F" w:rsidRPr="00797D8E">
        <w:rPr>
          <w:sz w:val="22"/>
          <w:szCs w:val="22"/>
          <w:highlight w:val="lightGray"/>
          <w:lang w:val="en-US"/>
        </w:rPr>
        <w:t>…</w:t>
      </w:r>
      <w:r w:rsidR="000A08E0" w:rsidRPr="00797D8E">
        <w:rPr>
          <w:sz w:val="22"/>
          <w:szCs w:val="22"/>
          <w:highlight w:val="lightGray"/>
        </w:rPr>
        <w:t>……………….</w:t>
      </w:r>
      <w:r w:rsidR="00AE7B5F" w:rsidRPr="00797D8E">
        <w:rPr>
          <w:sz w:val="22"/>
          <w:szCs w:val="22"/>
          <w:highlight w:val="lightGray"/>
          <w:lang w:val="en-US"/>
        </w:rPr>
        <w:t>…</w:t>
      </w:r>
      <w:r w:rsidRPr="00797D8E">
        <w:rPr>
          <w:sz w:val="22"/>
          <w:szCs w:val="22"/>
        </w:rPr>
        <w:t xml:space="preserve"> и се съставя в два еднообразни екземпляра, по един за всяка страна.</w:t>
      </w:r>
    </w:p>
    <w:p w14:paraId="30BFF5FF" w14:textId="77777777" w:rsidR="006C0E45" w:rsidRPr="00797D8E" w:rsidRDefault="006C0E45" w:rsidP="006C0E45">
      <w:pPr>
        <w:pStyle w:val="Text2"/>
        <w:spacing w:after="0"/>
        <w:ind w:left="0"/>
        <w:rPr>
          <w:sz w:val="22"/>
          <w:szCs w:val="22"/>
          <w:lang w:val="ru-RU"/>
        </w:rPr>
      </w:pPr>
    </w:p>
    <w:p w14:paraId="4F4D0AA8" w14:textId="77777777" w:rsidR="006C0E45" w:rsidRPr="00797D8E" w:rsidRDefault="006C0E45" w:rsidP="006C0E45">
      <w:pPr>
        <w:autoSpaceDE w:val="0"/>
        <w:autoSpaceDN w:val="0"/>
        <w:spacing w:line="276" w:lineRule="auto"/>
        <w:rPr>
          <w:b/>
          <w:sz w:val="22"/>
          <w:szCs w:val="22"/>
          <w:lang w:val="ru-RU"/>
        </w:rPr>
      </w:pPr>
      <w:r w:rsidRPr="00797D8E">
        <w:rPr>
          <w:b/>
          <w:sz w:val="22"/>
          <w:szCs w:val="22"/>
          <w:lang w:val="ru-RU"/>
        </w:rPr>
        <w:t>ЗА ВЪЗЛОЖИТЕЛ:</w:t>
      </w:r>
      <w:r w:rsidRPr="00797D8E">
        <w:rPr>
          <w:b/>
          <w:sz w:val="22"/>
          <w:szCs w:val="22"/>
          <w:lang w:val="ru-RU"/>
        </w:rPr>
        <w:tab/>
      </w:r>
      <w:r w:rsidRPr="00797D8E">
        <w:rPr>
          <w:b/>
          <w:sz w:val="22"/>
          <w:szCs w:val="22"/>
          <w:lang w:val="ru-RU"/>
        </w:rPr>
        <w:tab/>
      </w:r>
      <w:r w:rsidRPr="00797D8E">
        <w:rPr>
          <w:b/>
          <w:sz w:val="22"/>
          <w:szCs w:val="22"/>
          <w:lang w:val="ru-RU"/>
        </w:rPr>
        <w:tab/>
      </w:r>
      <w:r w:rsidRPr="00797D8E">
        <w:rPr>
          <w:b/>
          <w:sz w:val="22"/>
          <w:szCs w:val="22"/>
          <w:lang w:val="ru-RU"/>
        </w:rPr>
        <w:tab/>
      </w:r>
      <w:r w:rsidRPr="00797D8E">
        <w:rPr>
          <w:b/>
          <w:sz w:val="22"/>
          <w:szCs w:val="22"/>
          <w:lang w:val="ru-RU"/>
        </w:rPr>
        <w:tab/>
      </w:r>
      <w:r w:rsidR="00987951" w:rsidRPr="00797D8E">
        <w:rPr>
          <w:b/>
          <w:sz w:val="22"/>
          <w:szCs w:val="22"/>
          <w:lang w:val="ru-RU"/>
        </w:rPr>
        <w:tab/>
      </w:r>
      <w:r w:rsidRPr="00797D8E">
        <w:rPr>
          <w:b/>
          <w:sz w:val="22"/>
          <w:szCs w:val="22"/>
          <w:lang w:val="ru-RU"/>
        </w:rPr>
        <w:t>ЗА ИЗПЪЛНИТЕЛ:</w:t>
      </w:r>
    </w:p>
    <w:p w14:paraId="599EB2C2" w14:textId="71AD5EDF" w:rsidR="006C0E45" w:rsidRPr="00797D8E" w:rsidRDefault="006C0E45" w:rsidP="006C0E45">
      <w:pPr>
        <w:autoSpaceDE w:val="0"/>
        <w:autoSpaceDN w:val="0"/>
        <w:spacing w:line="276" w:lineRule="auto"/>
        <w:rPr>
          <w:sz w:val="22"/>
          <w:szCs w:val="22"/>
          <w:lang w:val="ru-RU"/>
        </w:rPr>
      </w:pPr>
      <w:r w:rsidRPr="00797D8E">
        <w:rPr>
          <w:sz w:val="22"/>
          <w:szCs w:val="22"/>
          <w:lang w:val="ru-RU"/>
        </w:rPr>
        <w:t>_______________</w:t>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t>_______________</w:t>
      </w:r>
    </w:p>
    <w:p w14:paraId="383CB39D" w14:textId="3C22CD26" w:rsidR="006C0E45" w:rsidRPr="00797D8E" w:rsidRDefault="009D0269" w:rsidP="006C0E45">
      <w:pPr>
        <w:pStyle w:val="Default"/>
        <w:rPr>
          <w:sz w:val="22"/>
          <w:szCs w:val="22"/>
          <w:lang w:val="ru-RU"/>
        </w:rPr>
      </w:pPr>
      <w:r w:rsidRPr="00797D8E">
        <w:rPr>
          <w:sz w:val="22"/>
          <w:szCs w:val="22"/>
          <w:lang w:val="ru-RU"/>
        </w:rPr>
        <w:t>[</w:t>
      </w:r>
      <w:r w:rsidRPr="00797D8E">
        <w:rPr>
          <w:sz w:val="22"/>
          <w:szCs w:val="22"/>
        </w:rPr>
        <w:t xml:space="preserve"> ..............................</w:t>
      </w:r>
      <w:r w:rsidRPr="00797D8E">
        <w:rPr>
          <w:sz w:val="22"/>
          <w:szCs w:val="22"/>
          <w:lang w:val="ru-RU"/>
        </w:rPr>
        <w:t>]</w:t>
      </w:r>
      <w:r w:rsidR="006C0E45" w:rsidRPr="00797D8E">
        <w:rPr>
          <w:sz w:val="22"/>
          <w:szCs w:val="22"/>
        </w:rPr>
        <w:tab/>
      </w:r>
      <w:r w:rsidR="006C0E45" w:rsidRPr="00797D8E">
        <w:rPr>
          <w:sz w:val="22"/>
          <w:szCs w:val="22"/>
        </w:rPr>
        <w:tab/>
      </w:r>
      <w:r w:rsidR="006C0E45" w:rsidRPr="00797D8E">
        <w:rPr>
          <w:sz w:val="22"/>
          <w:szCs w:val="22"/>
        </w:rPr>
        <w:tab/>
      </w:r>
      <w:r w:rsidR="006C0E45" w:rsidRPr="00797D8E">
        <w:rPr>
          <w:sz w:val="22"/>
          <w:szCs w:val="22"/>
        </w:rPr>
        <w:tab/>
      </w:r>
      <w:r w:rsidR="006C0E45" w:rsidRPr="00797D8E">
        <w:rPr>
          <w:sz w:val="22"/>
          <w:szCs w:val="22"/>
        </w:rPr>
        <w:tab/>
      </w:r>
      <w:r w:rsidR="00243D6F" w:rsidRPr="00797D8E">
        <w:rPr>
          <w:sz w:val="22"/>
          <w:szCs w:val="22"/>
        </w:rPr>
        <w:t xml:space="preserve">             </w:t>
      </w:r>
      <w:r w:rsidR="00027556" w:rsidRPr="00797D8E">
        <w:rPr>
          <w:sz w:val="22"/>
          <w:szCs w:val="22"/>
          <w:lang w:val="ru-RU"/>
        </w:rPr>
        <w:t>[</w:t>
      </w:r>
      <w:r w:rsidR="00243D6F" w:rsidRPr="00797D8E">
        <w:rPr>
          <w:sz w:val="22"/>
          <w:szCs w:val="22"/>
        </w:rPr>
        <w:t xml:space="preserve"> </w:t>
      </w:r>
      <w:r w:rsidR="006C0E45" w:rsidRPr="00797D8E">
        <w:rPr>
          <w:sz w:val="22"/>
          <w:szCs w:val="22"/>
        </w:rPr>
        <w:t>..............................</w:t>
      </w:r>
      <w:r w:rsidR="006C0E45" w:rsidRPr="00797D8E">
        <w:rPr>
          <w:sz w:val="22"/>
          <w:szCs w:val="22"/>
          <w:lang w:val="ru-RU"/>
        </w:rPr>
        <w:t>]</w:t>
      </w:r>
    </w:p>
    <w:p w14:paraId="48CCBE4D" w14:textId="495A8F68" w:rsidR="009D0269" w:rsidRPr="00797D8E" w:rsidRDefault="009D0269" w:rsidP="009D0269">
      <w:pPr>
        <w:pStyle w:val="Default"/>
        <w:rPr>
          <w:sz w:val="22"/>
          <w:szCs w:val="22"/>
          <w:lang w:val="ru-RU"/>
        </w:rPr>
      </w:pPr>
      <w:r w:rsidRPr="00797D8E">
        <w:rPr>
          <w:sz w:val="22"/>
          <w:szCs w:val="22"/>
          <w:lang w:val="ru-RU"/>
        </w:rPr>
        <w:t>[</w:t>
      </w:r>
      <w:r w:rsidRPr="00797D8E">
        <w:rPr>
          <w:sz w:val="22"/>
          <w:szCs w:val="22"/>
        </w:rPr>
        <w:t xml:space="preserve"> ..............................</w:t>
      </w:r>
      <w:r w:rsidRPr="00797D8E">
        <w:rPr>
          <w:sz w:val="22"/>
          <w:szCs w:val="22"/>
          <w:lang w:val="ru-RU"/>
        </w:rPr>
        <w:t>]</w:t>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r>
      <w:r w:rsidRPr="00797D8E">
        <w:rPr>
          <w:sz w:val="22"/>
          <w:szCs w:val="22"/>
          <w:lang w:val="ru-RU"/>
        </w:rPr>
        <w:tab/>
        <w:t>[</w:t>
      </w:r>
      <w:r w:rsidRPr="00797D8E">
        <w:rPr>
          <w:sz w:val="22"/>
          <w:szCs w:val="22"/>
        </w:rPr>
        <w:t xml:space="preserve"> ..............................</w:t>
      </w:r>
      <w:r w:rsidRPr="00797D8E">
        <w:rPr>
          <w:sz w:val="22"/>
          <w:szCs w:val="22"/>
          <w:lang w:val="ru-RU"/>
        </w:rPr>
        <w:t>]</w:t>
      </w:r>
    </w:p>
    <w:p w14:paraId="7F1CF276" w14:textId="684B1F2D" w:rsidR="006C0E45" w:rsidRPr="00797D8E" w:rsidRDefault="006C0E45" w:rsidP="006C0E45">
      <w:pPr>
        <w:pStyle w:val="Default"/>
        <w:rPr>
          <w:sz w:val="22"/>
          <w:szCs w:val="22"/>
          <w:lang w:val="ru-RU"/>
        </w:rPr>
      </w:pPr>
      <w:r w:rsidRPr="00797D8E">
        <w:rPr>
          <w:sz w:val="22"/>
          <w:szCs w:val="22"/>
          <w:lang w:val="ru-RU"/>
        </w:rPr>
        <w:t>[</w:t>
      </w:r>
      <w:r w:rsidRPr="00797D8E">
        <w:rPr>
          <w:sz w:val="22"/>
          <w:szCs w:val="22"/>
        </w:rPr>
        <w:t>..............................</w:t>
      </w:r>
      <w:r w:rsidRPr="00797D8E">
        <w:rPr>
          <w:sz w:val="22"/>
          <w:szCs w:val="22"/>
          <w:lang w:val="ru-RU"/>
        </w:rPr>
        <w:t>]</w:t>
      </w:r>
      <w:r w:rsidRPr="00797D8E">
        <w:rPr>
          <w:sz w:val="22"/>
          <w:szCs w:val="22"/>
          <w:lang w:val="ru-RU"/>
        </w:rPr>
        <w:tab/>
      </w:r>
      <w:r w:rsidRPr="00797D8E">
        <w:rPr>
          <w:sz w:val="22"/>
          <w:szCs w:val="22"/>
          <w:lang w:val="ru-RU"/>
        </w:rPr>
        <w:tab/>
      </w:r>
      <w:r w:rsidR="00243D6F" w:rsidRPr="00797D8E">
        <w:rPr>
          <w:sz w:val="22"/>
          <w:szCs w:val="22"/>
          <w:lang w:val="ru-RU"/>
        </w:rPr>
        <w:t xml:space="preserve">                                                   </w:t>
      </w:r>
      <w:r w:rsidR="00987951" w:rsidRPr="00797D8E">
        <w:rPr>
          <w:sz w:val="22"/>
          <w:szCs w:val="22"/>
          <w:lang w:val="ru-RU"/>
        </w:rPr>
        <w:t xml:space="preserve"> </w:t>
      </w:r>
      <w:r w:rsidRPr="00797D8E">
        <w:rPr>
          <w:sz w:val="22"/>
          <w:szCs w:val="22"/>
          <w:lang w:val="ru-RU"/>
        </w:rPr>
        <w:t>[</w:t>
      </w:r>
      <w:r w:rsidRPr="00797D8E">
        <w:rPr>
          <w:sz w:val="22"/>
          <w:szCs w:val="22"/>
        </w:rPr>
        <w:t>..............................</w:t>
      </w:r>
      <w:r w:rsidRPr="00797D8E">
        <w:rPr>
          <w:sz w:val="22"/>
          <w:szCs w:val="22"/>
          <w:lang w:val="ru-RU"/>
        </w:rPr>
        <w:t>]</w:t>
      </w:r>
    </w:p>
    <w:p w14:paraId="148E8F1B" w14:textId="148B148F" w:rsidR="00C12ECE" w:rsidRPr="00797D8E" w:rsidRDefault="00C12ECE" w:rsidP="00710449">
      <w:pPr>
        <w:rPr>
          <w:sz w:val="22"/>
          <w:szCs w:val="22"/>
        </w:rPr>
      </w:pPr>
    </w:p>
    <w:p w14:paraId="36A063DA" w14:textId="42237AFC" w:rsidR="00C911F5" w:rsidRPr="00797D8E" w:rsidRDefault="00C911F5" w:rsidP="00C911F5">
      <w:pPr>
        <w:rPr>
          <w:sz w:val="22"/>
          <w:szCs w:val="22"/>
        </w:rPr>
      </w:pPr>
    </w:p>
    <w:p w14:paraId="6631F8C0" w14:textId="2620CA79" w:rsidR="00C911F5" w:rsidRPr="00797D8E" w:rsidRDefault="00C911F5" w:rsidP="00C911F5">
      <w:pPr>
        <w:rPr>
          <w:sz w:val="22"/>
          <w:szCs w:val="22"/>
        </w:rPr>
      </w:pPr>
    </w:p>
    <w:p w14:paraId="53044CF0" w14:textId="670869E1" w:rsidR="00C911F5" w:rsidRPr="00797D8E" w:rsidRDefault="00C911F5" w:rsidP="00C911F5">
      <w:pPr>
        <w:rPr>
          <w:sz w:val="22"/>
          <w:szCs w:val="22"/>
        </w:rPr>
      </w:pPr>
    </w:p>
    <w:p w14:paraId="48D2BCA5" w14:textId="579BF2F6" w:rsidR="00C911F5" w:rsidRPr="00797D8E" w:rsidRDefault="00C911F5" w:rsidP="00C911F5">
      <w:pPr>
        <w:rPr>
          <w:sz w:val="22"/>
          <w:szCs w:val="22"/>
        </w:rPr>
      </w:pPr>
    </w:p>
    <w:p w14:paraId="14C4AC39" w14:textId="580FCCEA" w:rsidR="00C911F5" w:rsidRPr="00797D8E" w:rsidRDefault="00C911F5" w:rsidP="00C911F5">
      <w:pPr>
        <w:rPr>
          <w:sz w:val="22"/>
          <w:szCs w:val="22"/>
        </w:rPr>
      </w:pPr>
    </w:p>
    <w:p w14:paraId="71350E69" w14:textId="77777777" w:rsidR="00C911F5" w:rsidRPr="00797D8E" w:rsidRDefault="00C911F5" w:rsidP="00C911F5">
      <w:pPr>
        <w:jc w:val="center"/>
        <w:rPr>
          <w:sz w:val="22"/>
          <w:szCs w:val="22"/>
        </w:rPr>
      </w:pPr>
    </w:p>
    <w:sectPr w:rsidR="00C911F5" w:rsidRPr="00797D8E" w:rsidSect="00A632F6">
      <w:headerReference w:type="default" r:id="rId7"/>
      <w:footerReference w:type="default" r:id="rId8"/>
      <w:pgSz w:w="11906" w:h="16838"/>
      <w:pgMar w:top="0" w:right="991" w:bottom="1417" w:left="993"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5BDA9" w14:textId="77777777" w:rsidR="004A5D88" w:rsidRDefault="004A5D88" w:rsidP="00C5450D">
      <w:r>
        <w:separator/>
      </w:r>
    </w:p>
  </w:endnote>
  <w:endnote w:type="continuationSeparator" w:id="0">
    <w:p w14:paraId="39C1397F" w14:textId="77777777" w:rsidR="004A5D88" w:rsidRDefault="004A5D8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C796" w14:textId="77777777" w:rsidR="0001710A" w:rsidRPr="001865C8" w:rsidRDefault="0001710A" w:rsidP="0001710A">
    <w:pPr>
      <w:pStyle w:val="Footer"/>
      <w:jc w:val="center"/>
      <w:rPr>
        <w:i/>
        <w:sz w:val="20"/>
        <w:szCs w:val="22"/>
        <w:lang w:val="en-US"/>
      </w:rPr>
    </w:pPr>
    <w:r w:rsidRPr="001865C8">
      <w:rPr>
        <w:i/>
        <w:sz w:val="20"/>
        <w:szCs w:val="22"/>
      </w:rPr>
      <w:t>----------------------------------</w:t>
    </w:r>
    <w:r w:rsidRPr="001865C8">
      <w:rPr>
        <w:i/>
        <w:sz w:val="20"/>
        <w:szCs w:val="22"/>
        <w:lang w:val="en-US"/>
      </w:rPr>
      <w:t>---</w:t>
    </w:r>
    <w:r w:rsidRPr="001865C8">
      <w:rPr>
        <w:i/>
        <w:sz w:val="20"/>
        <w:szCs w:val="22"/>
      </w:rPr>
      <w:t xml:space="preserve">----------------- </w:t>
    </w:r>
    <w:hyperlink r:id="rId1" w:history="1">
      <w:r w:rsidRPr="001865C8">
        <w:rPr>
          <w:rStyle w:val="Hyperlink"/>
          <w:i/>
          <w:sz w:val="20"/>
          <w:szCs w:val="22"/>
          <w:lang w:val="en-US"/>
        </w:rPr>
        <w:t>www.eufunds.bg</w:t>
      </w:r>
    </w:hyperlink>
    <w:r w:rsidRPr="001865C8">
      <w:rPr>
        <w:i/>
        <w:sz w:val="20"/>
        <w:szCs w:val="22"/>
        <w:lang w:val="en-US"/>
      </w:rPr>
      <w:t xml:space="preserve"> ------------------------------------------------------</w:t>
    </w:r>
  </w:p>
  <w:p w14:paraId="5C0CAA7E" w14:textId="77777777" w:rsidR="0001710A" w:rsidRPr="001865C8" w:rsidRDefault="0001710A" w:rsidP="0001710A">
    <w:pPr>
      <w:pStyle w:val="Footer"/>
      <w:jc w:val="center"/>
      <w:rPr>
        <w:i/>
        <w:sz w:val="10"/>
        <w:szCs w:val="22"/>
        <w:lang w:val="en-US"/>
      </w:rPr>
    </w:pPr>
  </w:p>
  <w:p w14:paraId="475A1132" w14:textId="531A9464" w:rsidR="00754915" w:rsidRPr="00754915" w:rsidRDefault="009F775D" w:rsidP="00754915">
    <w:pPr>
      <w:pStyle w:val="Footer"/>
      <w:jc w:val="center"/>
      <w:rPr>
        <w:i/>
        <w:sz w:val="16"/>
        <w:szCs w:val="22"/>
      </w:rPr>
    </w:pPr>
    <w:r w:rsidRPr="00AB4829">
      <w:rPr>
        <w:i/>
        <w:sz w:val="16"/>
        <w:szCs w:val="22"/>
      </w:rPr>
      <w:t>Договор № BG16RFPR001-1.003-</w:t>
    </w:r>
    <w:r w:rsidRPr="00754915">
      <w:rPr>
        <w:i/>
        <w:sz w:val="16"/>
        <w:szCs w:val="22"/>
      </w:rPr>
      <w:t>0292-C01</w:t>
    </w:r>
    <w:r w:rsidR="00754915" w:rsidRPr="00754915">
      <w:rPr>
        <w:i/>
        <w:sz w:val="16"/>
        <w:szCs w:val="22"/>
      </w:rPr>
      <w:t xml:space="preserve"> - 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w:t>
    </w:r>
    <w:r w:rsidR="00754915">
      <w:rPr>
        <w:i/>
        <w:sz w:val="16"/>
        <w:szCs w:val="22"/>
      </w:rPr>
      <w:t>„ПРОСВЕТА – СОФИЯ“ АД</w:t>
    </w:r>
    <w:r w:rsidR="00754915" w:rsidRPr="00754915">
      <w:rPr>
        <w:i/>
        <w:sz w:val="16"/>
        <w:szCs w:val="22"/>
      </w:rPr>
      <w:t xml:space="preserve"> и при никакви обстоятелства не може да се приема, че този документ отразява официалното становище на Европейския съюз и Управляващия орган.</w:t>
    </w:r>
  </w:p>
  <w:p w14:paraId="486A2FBD" w14:textId="36002059" w:rsidR="0006166C" w:rsidRPr="00754915" w:rsidRDefault="009F775D" w:rsidP="00754915">
    <w:pPr>
      <w:pStyle w:val="Footer"/>
      <w:jc w:val="center"/>
      <w:rPr>
        <w:i/>
        <w:sz w:val="10"/>
        <w:szCs w:val="22"/>
        <w:lang w:val="en-US"/>
      </w:rPr>
    </w:pPr>
    <w:r w:rsidRPr="00754915">
      <w:rPr>
        <w:i/>
        <w:sz w:val="10"/>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70C64" w14:textId="77777777" w:rsidR="004A5D88" w:rsidRDefault="004A5D88" w:rsidP="00C5450D">
      <w:r>
        <w:separator/>
      </w:r>
    </w:p>
  </w:footnote>
  <w:footnote w:type="continuationSeparator" w:id="0">
    <w:p w14:paraId="7CB5ACB4" w14:textId="77777777" w:rsidR="004A5D88" w:rsidRDefault="004A5D88" w:rsidP="00C5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19" w:type="dxa"/>
      <w:tblInd w:w="-420" w:type="dxa"/>
      <w:tblLook w:val="04A0" w:firstRow="1" w:lastRow="0" w:firstColumn="1" w:lastColumn="0" w:noHBand="0" w:noVBand="1"/>
    </w:tblPr>
    <w:tblGrid>
      <w:gridCol w:w="10336"/>
      <w:gridCol w:w="222"/>
    </w:tblGrid>
    <w:tr w:rsidR="004E443D" w14:paraId="615111EF" w14:textId="77777777" w:rsidTr="00296A81">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4E443D" w14:paraId="20D157E4" w14:textId="77777777" w:rsidTr="00296A81">
            <w:tc>
              <w:tcPr>
                <w:tcW w:w="4531" w:type="dxa"/>
                <w:shd w:val="clear" w:color="auto" w:fill="auto"/>
                <w:vAlign w:val="center"/>
              </w:tcPr>
              <w:p w14:paraId="66A884EB" w14:textId="77777777" w:rsidR="004E443D" w:rsidRDefault="004E443D" w:rsidP="004E443D">
                <w:pPr>
                  <w:widowControl w:val="0"/>
                  <w:spacing w:before="100" w:after="100"/>
                </w:pPr>
                <w:r>
                  <w:rPr>
                    <w:noProof/>
                  </w:rPr>
                  <w:drawing>
                    <wp:inline distT="0" distB="0" distL="0" distR="0" wp14:anchorId="7E29F51B" wp14:editId="2AAD139B">
                      <wp:extent cx="2289810" cy="476885"/>
                      <wp:effectExtent l="0" t="0" r="0" b="0"/>
                      <wp:docPr id="1"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810" cy="476885"/>
                              </a:xfrm>
                              <a:prstGeom prst="rect">
                                <a:avLst/>
                              </a:prstGeom>
                              <a:noFill/>
                              <a:ln>
                                <a:noFill/>
                              </a:ln>
                            </pic:spPr>
                          </pic:pic>
                        </a:graphicData>
                      </a:graphic>
                    </wp:inline>
                  </w:drawing>
                </w:r>
              </w:p>
            </w:tc>
            <w:tc>
              <w:tcPr>
                <w:tcW w:w="5688" w:type="dxa"/>
                <w:shd w:val="clear" w:color="auto" w:fill="auto"/>
                <w:vAlign w:val="center"/>
              </w:tcPr>
              <w:p w14:paraId="6A001924" w14:textId="77777777" w:rsidR="004E443D" w:rsidRDefault="004E443D" w:rsidP="004E443D">
                <w:pPr>
                  <w:widowControl w:val="0"/>
                  <w:spacing w:before="100" w:after="100"/>
                  <w:jc w:val="right"/>
                </w:pPr>
                <w:r>
                  <w:rPr>
                    <w:noProof/>
                  </w:rPr>
                  <w:drawing>
                    <wp:inline distT="0" distB="0" distL="0" distR="0" wp14:anchorId="4CD5F275" wp14:editId="46C3417A">
                      <wp:extent cx="2305685" cy="636270"/>
                      <wp:effectExtent l="0" t="0" r="0" b="0"/>
                      <wp:docPr id="2"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5685" cy="636270"/>
                              </a:xfrm>
                              <a:prstGeom prst="rect">
                                <a:avLst/>
                              </a:prstGeom>
                              <a:noFill/>
                              <a:ln>
                                <a:noFill/>
                              </a:ln>
                            </pic:spPr>
                          </pic:pic>
                        </a:graphicData>
                      </a:graphic>
                    </wp:inline>
                  </w:drawing>
                </w:r>
              </w:p>
            </w:tc>
          </w:tr>
        </w:tbl>
        <w:p w14:paraId="1A258931" w14:textId="77777777" w:rsidR="004E443D" w:rsidRDefault="004E443D" w:rsidP="004E443D">
          <w:pPr>
            <w:widowControl w:val="0"/>
            <w:spacing w:before="100" w:after="100"/>
          </w:pPr>
        </w:p>
      </w:tc>
      <w:tc>
        <w:tcPr>
          <w:tcW w:w="5688" w:type="dxa"/>
          <w:shd w:val="clear" w:color="auto" w:fill="auto"/>
          <w:vAlign w:val="center"/>
        </w:tcPr>
        <w:p w14:paraId="2D0CDB98" w14:textId="77777777" w:rsidR="004E443D" w:rsidRDefault="004E443D" w:rsidP="004E443D">
          <w:pPr>
            <w:widowControl w:val="0"/>
            <w:spacing w:before="100" w:after="100"/>
            <w:jc w:val="right"/>
          </w:pPr>
        </w:p>
      </w:tc>
    </w:tr>
  </w:tbl>
  <w:p w14:paraId="5126846D" w14:textId="77777777" w:rsidR="00C5450D" w:rsidRPr="00C5450D" w:rsidRDefault="00C5450D" w:rsidP="004E443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93E"/>
    <w:rsid w:val="0001710A"/>
    <w:rsid w:val="00021C46"/>
    <w:rsid w:val="00027556"/>
    <w:rsid w:val="00036962"/>
    <w:rsid w:val="00047DDE"/>
    <w:rsid w:val="0006166C"/>
    <w:rsid w:val="000671ED"/>
    <w:rsid w:val="0007049D"/>
    <w:rsid w:val="0009486A"/>
    <w:rsid w:val="000A08E0"/>
    <w:rsid w:val="000F1A76"/>
    <w:rsid w:val="000F6649"/>
    <w:rsid w:val="000F6763"/>
    <w:rsid w:val="001163D9"/>
    <w:rsid w:val="00123C62"/>
    <w:rsid w:val="0012666E"/>
    <w:rsid w:val="00127AB7"/>
    <w:rsid w:val="00175030"/>
    <w:rsid w:val="001B5442"/>
    <w:rsid w:val="001E02C2"/>
    <w:rsid w:val="001E5D88"/>
    <w:rsid w:val="00243D6F"/>
    <w:rsid w:val="00281C22"/>
    <w:rsid w:val="00285A16"/>
    <w:rsid w:val="002A69D2"/>
    <w:rsid w:val="002C5A74"/>
    <w:rsid w:val="00301FC8"/>
    <w:rsid w:val="003023DA"/>
    <w:rsid w:val="00341945"/>
    <w:rsid w:val="00381CAF"/>
    <w:rsid w:val="003A5687"/>
    <w:rsid w:val="003B5BBF"/>
    <w:rsid w:val="004054AE"/>
    <w:rsid w:val="00450CC3"/>
    <w:rsid w:val="00461795"/>
    <w:rsid w:val="00481552"/>
    <w:rsid w:val="004A5D88"/>
    <w:rsid w:val="004A5FD4"/>
    <w:rsid w:val="004C7BF5"/>
    <w:rsid w:val="004D2D34"/>
    <w:rsid w:val="004E09B2"/>
    <w:rsid w:val="004E443D"/>
    <w:rsid w:val="0054501B"/>
    <w:rsid w:val="0055341F"/>
    <w:rsid w:val="00562A30"/>
    <w:rsid w:val="00616064"/>
    <w:rsid w:val="00636CD7"/>
    <w:rsid w:val="0065193E"/>
    <w:rsid w:val="006603E8"/>
    <w:rsid w:val="0066673B"/>
    <w:rsid w:val="006B7C00"/>
    <w:rsid w:val="006C0E45"/>
    <w:rsid w:val="00710449"/>
    <w:rsid w:val="00713782"/>
    <w:rsid w:val="0073069C"/>
    <w:rsid w:val="00754915"/>
    <w:rsid w:val="00760ED5"/>
    <w:rsid w:val="007839FB"/>
    <w:rsid w:val="00797D8E"/>
    <w:rsid w:val="007C7CA8"/>
    <w:rsid w:val="007F6B6E"/>
    <w:rsid w:val="00816661"/>
    <w:rsid w:val="00852DB4"/>
    <w:rsid w:val="00871B0F"/>
    <w:rsid w:val="009110C1"/>
    <w:rsid w:val="009179FE"/>
    <w:rsid w:val="00935BF4"/>
    <w:rsid w:val="00954B1F"/>
    <w:rsid w:val="00957235"/>
    <w:rsid w:val="009603B1"/>
    <w:rsid w:val="0098296B"/>
    <w:rsid w:val="00987951"/>
    <w:rsid w:val="009C4128"/>
    <w:rsid w:val="009D0269"/>
    <w:rsid w:val="009D050A"/>
    <w:rsid w:val="009D4ED0"/>
    <w:rsid w:val="009F192C"/>
    <w:rsid w:val="009F775D"/>
    <w:rsid w:val="00A3188F"/>
    <w:rsid w:val="00A632F6"/>
    <w:rsid w:val="00A75C47"/>
    <w:rsid w:val="00A903F9"/>
    <w:rsid w:val="00AA30DD"/>
    <w:rsid w:val="00AC3511"/>
    <w:rsid w:val="00AE7B5F"/>
    <w:rsid w:val="00B17A30"/>
    <w:rsid w:val="00B40389"/>
    <w:rsid w:val="00BB4AEF"/>
    <w:rsid w:val="00BB5F4F"/>
    <w:rsid w:val="00C12ECE"/>
    <w:rsid w:val="00C27C2B"/>
    <w:rsid w:val="00C5450D"/>
    <w:rsid w:val="00C6789A"/>
    <w:rsid w:val="00C80629"/>
    <w:rsid w:val="00C911F5"/>
    <w:rsid w:val="00CC2E7E"/>
    <w:rsid w:val="00CC3F2F"/>
    <w:rsid w:val="00CF57E0"/>
    <w:rsid w:val="00CF5866"/>
    <w:rsid w:val="00CF7958"/>
    <w:rsid w:val="00D01547"/>
    <w:rsid w:val="00D331C4"/>
    <w:rsid w:val="00D33358"/>
    <w:rsid w:val="00D476D8"/>
    <w:rsid w:val="00D600B4"/>
    <w:rsid w:val="00D65564"/>
    <w:rsid w:val="00E36772"/>
    <w:rsid w:val="00E46C40"/>
    <w:rsid w:val="00EB77DE"/>
    <w:rsid w:val="00EE46BB"/>
    <w:rsid w:val="00EF4FB8"/>
    <w:rsid w:val="00F41CD1"/>
    <w:rsid w:val="00FA7AE7"/>
    <w:rsid w:val="00FC1CA6"/>
    <w:rsid w:val="00FE20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3A34E3"/>
  <w15:docId w15:val="{8A3B9B1B-812C-4479-A689-2444CBEF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6C0E45"/>
    <w:pPr>
      <w:keepNext/>
      <w:numPr>
        <w:numId w:val="1"/>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6C0E45"/>
    <w:pPr>
      <w:keepNext/>
      <w:numPr>
        <w:ilvl w:val="1"/>
        <w:numId w:val="1"/>
      </w:numPr>
      <w:spacing w:after="240"/>
      <w:jc w:val="both"/>
      <w:outlineLvl w:val="1"/>
    </w:pPr>
    <w:rPr>
      <w:b/>
      <w:szCs w:val="20"/>
      <w:lang w:val="en-GB" w:eastAsia="en-GB"/>
    </w:rPr>
  </w:style>
  <w:style w:type="paragraph" w:styleId="Heading3">
    <w:name w:val="heading 3"/>
    <w:basedOn w:val="Normal"/>
    <w:next w:val="Text3"/>
    <w:link w:val="Heading3Char"/>
    <w:qFormat/>
    <w:rsid w:val="006C0E45"/>
    <w:pPr>
      <w:keepNext/>
      <w:numPr>
        <w:ilvl w:val="2"/>
        <w:numId w:val="1"/>
      </w:numPr>
      <w:spacing w:after="240"/>
      <w:jc w:val="both"/>
      <w:outlineLvl w:val="2"/>
    </w:pPr>
    <w:rPr>
      <w:i/>
      <w:szCs w:val="20"/>
      <w:lang w:val="en-GB" w:eastAsia="en-GB"/>
    </w:rPr>
  </w:style>
  <w:style w:type="paragraph" w:styleId="Heading4">
    <w:name w:val="heading 4"/>
    <w:basedOn w:val="Normal"/>
    <w:next w:val="Normal"/>
    <w:link w:val="Heading4Char"/>
    <w:qFormat/>
    <w:rsid w:val="006C0E45"/>
    <w:pPr>
      <w:keepNext/>
      <w:numPr>
        <w:ilvl w:val="3"/>
        <w:numId w:val="1"/>
      </w:numPr>
      <w:spacing w:after="24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6C0E45"/>
    <w:rPr>
      <w:b/>
      <w:smallCaps/>
      <w:kern w:val="28"/>
      <w:sz w:val="24"/>
      <w:lang w:val="en-GB" w:eastAsia="en-GB"/>
    </w:rPr>
  </w:style>
  <w:style w:type="character" w:customStyle="1" w:styleId="Heading2Char">
    <w:name w:val="Heading 2 Char"/>
    <w:basedOn w:val="DefaultParagraphFont"/>
    <w:link w:val="Heading2"/>
    <w:rsid w:val="006C0E45"/>
    <w:rPr>
      <w:b/>
      <w:sz w:val="24"/>
      <w:lang w:val="en-GB" w:eastAsia="en-GB"/>
    </w:rPr>
  </w:style>
  <w:style w:type="character" w:customStyle="1" w:styleId="Heading3Char">
    <w:name w:val="Heading 3 Char"/>
    <w:basedOn w:val="DefaultParagraphFont"/>
    <w:link w:val="Heading3"/>
    <w:rsid w:val="006C0E45"/>
    <w:rPr>
      <w:i/>
      <w:sz w:val="24"/>
      <w:lang w:val="en-GB" w:eastAsia="en-GB"/>
    </w:rPr>
  </w:style>
  <w:style w:type="character" w:customStyle="1" w:styleId="Heading4Char">
    <w:name w:val="Heading 4 Char"/>
    <w:basedOn w:val="DefaultParagraphFont"/>
    <w:link w:val="Heading4"/>
    <w:rsid w:val="006C0E45"/>
    <w:rPr>
      <w:sz w:val="24"/>
      <w:lang w:val="en-GB" w:eastAsia="en-GB"/>
    </w:rPr>
  </w:style>
  <w:style w:type="paragraph" w:styleId="FootnoteText">
    <w:name w:val="footnote text"/>
    <w:basedOn w:val="Normal"/>
    <w:link w:val="FootnoteTextChar"/>
    <w:semiHidden/>
    <w:rsid w:val="006C0E45"/>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6C0E45"/>
    <w:rPr>
      <w:lang w:val="en-GB" w:eastAsia="en-GB"/>
    </w:rPr>
  </w:style>
  <w:style w:type="paragraph" w:customStyle="1" w:styleId="NumPar2">
    <w:name w:val="NumPar 2"/>
    <w:basedOn w:val="Heading2"/>
    <w:next w:val="Text2"/>
    <w:rsid w:val="006C0E45"/>
    <w:pPr>
      <w:keepNext w:val="0"/>
      <w:outlineLvl w:val="9"/>
    </w:pPr>
    <w:rPr>
      <w:b w:val="0"/>
    </w:rPr>
  </w:style>
  <w:style w:type="paragraph" w:customStyle="1" w:styleId="SectionTitle">
    <w:name w:val="SectionTitle"/>
    <w:basedOn w:val="Normal"/>
    <w:next w:val="Heading1"/>
    <w:rsid w:val="006C0E45"/>
    <w:pPr>
      <w:keepNext/>
      <w:spacing w:after="480"/>
      <w:jc w:val="center"/>
    </w:pPr>
    <w:rPr>
      <w:b/>
      <w:smallCaps/>
      <w:sz w:val="28"/>
      <w:szCs w:val="20"/>
      <w:lang w:val="en-GB" w:eastAsia="en-GB"/>
    </w:rPr>
  </w:style>
  <w:style w:type="paragraph" w:customStyle="1" w:styleId="Text1">
    <w:name w:val="Text 1"/>
    <w:basedOn w:val="Normal"/>
    <w:rsid w:val="006C0E45"/>
    <w:pPr>
      <w:spacing w:after="240"/>
      <w:ind w:left="482"/>
      <w:jc w:val="both"/>
    </w:pPr>
    <w:rPr>
      <w:szCs w:val="20"/>
      <w:lang w:val="en-GB" w:eastAsia="en-GB"/>
    </w:rPr>
  </w:style>
  <w:style w:type="paragraph" w:customStyle="1" w:styleId="Text2">
    <w:name w:val="Text 2"/>
    <w:basedOn w:val="Normal"/>
    <w:rsid w:val="006C0E45"/>
    <w:pPr>
      <w:tabs>
        <w:tab w:val="left" w:pos="2161"/>
      </w:tabs>
      <w:spacing w:after="240"/>
      <w:ind w:left="1202"/>
      <w:jc w:val="both"/>
    </w:pPr>
    <w:rPr>
      <w:szCs w:val="20"/>
      <w:lang w:val="en-GB" w:eastAsia="en-GB"/>
    </w:rPr>
  </w:style>
  <w:style w:type="paragraph" w:customStyle="1" w:styleId="Text3">
    <w:name w:val="Text 3"/>
    <w:basedOn w:val="Normal"/>
    <w:rsid w:val="006C0E45"/>
    <w:pPr>
      <w:tabs>
        <w:tab w:val="left" w:pos="2302"/>
      </w:tabs>
      <w:spacing w:after="240"/>
      <w:ind w:left="1202"/>
      <w:jc w:val="both"/>
    </w:pPr>
    <w:rPr>
      <w:szCs w:val="20"/>
      <w:lang w:val="en-GB" w:eastAsia="en-GB"/>
    </w:rPr>
  </w:style>
  <w:style w:type="paragraph" w:styleId="TOC1">
    <w:name w:val="toc 1"/>
    <w:basedOn w:val="Normal"/>
    <w:next w:val="Normal"/>
    <w:uiPriority w:val="39"/>
    <w:rsid w:val="006C0E45"/>
    <w:pPr>
      <w:tabs>
        <w:tab w:val="right" w:leader="dot" w:pos="8640"/>
      </w:tabs>
      <w:spacing w:before="120" w:after="120"/>
      <w:ind w:left="482" w:right="720" w:hanging="482"/>
      <w:jc w:val="both"/>
    </w:pPr>
    <w:rPr>
      <w:caps/>
      <w:szCs w:val="20"/>
      <w:lang w:val="en-GB" w:eastAsia="en-US"/>
    </w:rPr>
  </w:style>
  <w:style w:type="character" w:styleId="FootnoteReference">
    <w:name w:val="footnote reference"/>
    <w:semiHidden/>
    <w:rsid w:val="006C0E45"/>
    <w:rPr>
      <w:vertAlign w:val="superscript"/>
    </w:rPr>
  </w:style>
  <w:style w:type="paragraph" w:customStyle="1" w:styleId="Default">
    <w:name w:val="Default"/>
    <w:rsid w:val="006C0E45"/>
    <w:pPr>
      <w:autoSpaceDE w:val="0"/>
      <w:autoSpaceDN w:val="0"/>
      <w:adjustRightInd w:val="0"/>
    </w:pPr>
    <w:rPr>
      <w:color w:val="000000"/>
      <w:sz w:val="24"/>
      <w:szCs w:val="24"/>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2272</Words>
  <Characters>12956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zzz</cp:lastModifiedBy>
  <cp:revision>52</cp:revision>
  <dcterms:created xsi:type="dcterms:W3CDTF">2016-01-04T10:33:00Z</dcterms:created>
  <dcterms:modified xsi:type="dcterms:W3CDTF">2025-02-04T07:44:00Z</dcterms:modified>
</cp:coreProperties>
</file>